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7EAC" w14:textId="3937B904" w:rsidR="0082667A" w:rsidRDefault="0082667A" w:rsidP="7CEFE3DC">
      <w:pPr>
        <w:spacing w:after="0" w:line="240" w:lineRule="auto"/>
        <w:jc w:val="center"/>
        <w:rPr>
          <w:b/>
          <w:bCs/>
          <w:sz w:val="26"/>
          <w:szCs w:val="26"/>
        </w:rPr>
      </w:pPr>
      <w:r>
        <w:rPr>
          <w:b/>
          <w:bCs/>
          <w:sz w:val="26"/>
          <w:szCs w:val="26"/>
        </w:rPr>
        <w:t>RELEASE</w:t>
      </w:r>
    </w:p>
    <w:p w14:paraId="6DDC2781" w14:textId="77777777" w:rsidR="0082667A" w:rsidRDefault="0082667A" w:rsidP="7CEFE3DC">
      <w:pPr>
        <w:spacing w:after="0" w:line="240" w:lineRule="auto"/>
        <w:jc w:val="center"/>
        <w:rPr>
          <w:b/>
          <w:bCs/>
          <w:sz w:val="26"/>
          <w:szCs w:val="26"/>
        </w:rPr>
      </w:pPr>
    </w:p>
    <w:p w14:paraId="2BA0DD1F" w14:textId="6F0759AF" w:rsidR="00274FE0" w:rsidRDefault="000C698E" w:rsidP="7CEFE3DC">
      <w:pPr>
        <w:spacing w:after="0" w:line="240" w:lineRule="auto"/>
        <w:jc w:val="center"/>
        <w:rPr>
          <w:b/>
          <w:bCs/>
          <w:sz w:val="26"/>
          <w:szCs w:val="26"/>
        </w:rPr>
      </w:pPr>
      <w:r w:rsidRPr="00543FAA">
        <w:rPr>
          <w:b/>
          <w:bCs/>
          <w:sz w:val="26"/>
          <w:szCs w:val="26"/>
        </w:rPr>
        <w:t xml:space="preserve">Cerca de </w:t>
      </w:r>
      <w:r w:rsidR="7B59BB4E" w:rsidRPr="00543FAA">
        <w:rPr>
          <w:b/>
          <w:bCs/>
          <w:sz w:val="26"/>
          <w:szCs w:val="26"/>
        </w:rPr>
        <w:t xml:space="preserve">60% das mortes </w:t>
      </w:r>
      <w:r w:rsidR="001E3301" w:rsidRPr="00543FAA">
        <w:rPr>
          <w:b/>
          <w:bCs/>
          <w:sz w:val="26"/>
          <w:szCs w:val="26"/>
        </w:rPr>
        <w:t>em decorrência de</w:t>
      </w:r>
      <w:r w:rsidR="7B59BB4E" w:rsidRPr="00543FAA">
        <w:rPr>
          <w:b/>
          <w:bCs/>
          <w:sz w:val="26"/>
          <w:szCs w:val="26"/>
        </w:rPr>
        <w:t xml:space="preserve"> câncer de testículo</w:t>
      </w:r>
      <w:r w:rsidR="000A1688" w:rsidRPr="00543FAA">
        <w:rPr>
          <w:b/>
          <w:bCs/>
          <w:sz w:val="26"/>
          <w:szCs w:val="26"/>
        </w:rPr>
        <w:t xml:space="preserve"> no Brasil</w:t>
      </w:r>
      <w:r w:rsidR="7B59BB4E" w:rsidRPr="00543FAA">
        <w:rPr>
          <w:b/>
          <w:bCs/>
          <w:sz w:val="26"/>
          <w:szCs w:val="26"/>
        </w:rPr>
        <w:t xml:space="preserve"> </w:t>
      </w:r>
    </w:p>
    <w:p w14:paraId="36CB204C" w14:textId="06454CD3" w:rsidR="7CEFE3DC" w:rsidRPr="00543FAA" w:rsidRDefault="00274FE0" w:rsidP="7CEFE3DC">
      <w:pPr>
        <w:spacing w:after="0" w:line="240" w:lineRule="auto"/>
        <w:jc w:val="center"/>
        <w:rPr>
          <w:b/>
          <w:bCs/>
          <w:sz w:val="26"/>
          <w:szCs w:val="26"/>
        </w:rPr>
      </w:pPr>
      <w:r>
        <w:rPr>
          <w:b/>
          <w:bCs/>
          <w:sz w:val="26"/>
          <w:szCs w:val="26"/>
        </w:rPr>
        <w:t>são</w:t>
      </w:r>
      <w:r w:rsidR="000A1688" w:rsidRPr="00543FAA">
        <w:rPr>
          <w:b/>
          <w:bCs/>
          <w:sz w:val="26"/>
          <w:szCs w:val="26"/>
        </w:rPr>
        <w:t xml:space="preserve"> registradas entre homens de </w:t>
      </w:r>
      <w:r w:rsidR="7B59BB4E" w:rsidRPr="00543FAA">
        <w:rPr>
          <w:b/>
          <w:bCs/>
          <w:sz w:val="26"/>
          <w:szCs w:val="26"/>
        </w:rPr>
        <w:t xml:space="preserve">20 </w:t>
      </w:r>
      <w:r w:rsidR="000A1688" w:rsidRPr="00543FAA">
        <w:rPr>
          <w:b/>
          <w:bCs/>
          <w:sz w:val="26"/>
          <w:szCs w:val="26"/>
        </w:rPr>
        <w:t>a</w:t>
      </w:r>
      <w:r w:rsidR="7B59BB4E" w:rsidRPr="00543FAA">
        <w:rPr>
          <w:b/>
          <w:bCs/>
          <w:sz w:val="26"/>
          <w:szCs w:val="26"/>
        </w:rPr>
        <w:t xml:space="preserve"> 39 anos</w:t>
      </w:r>
    </w:p>
    <w:p w14:paraId="08FA93D0" w14:textId="77777777" w:rsidR="004E57BF" w:rsidRPr="008E5ADF" w:rsidRDefault="004E57BF" w:rsidP="5F5184A1">
      <w:pPr>
        <w:spacing w:after="0" w:line="240" w:lineRule="auto"/>
        <w:jc w:val="center"/>
        <w:rPr>
          <w:b/>
          <w:bCs/>
          <w:sz w:val="24"/>
          <w:szCs w:val="24"/>
          <w:highlight w:val="yellow"/>
        </w:rPr>
      </w:pPr>
    </w:p>
    <w:p w14:paraId="19CAE273" w14:textId="7D041CC0" w:rsidR="00D42EAB" w:rsidRPr="00AF6C12" w:rsidRDefault="46419B91" w:rsidP="46419B91">
      <w:pPr>
        <w:spacing w:after="0" w:line="240" w:lineRule="auto"/>
        <w:jc w:val="center"/>
        <w:rPr>
          <w:i/>
          <w:iCs/>
          <w:sz w:val="24"/>
          <w:szCs w:val="24"/>
        </w:rPr>
      </w:pPr>
      <w:r w:rsidRPr="46419B91">
        <w:rPr>
          <w:i/>
          <w:iCs/>
          <w:sz w:val="24"/>
          <w:szCs w:val="24"/>
        </w:rPr>
        <w:t>Nos últimos 5 anos foram realizadas mais de 25 mil cirurgias para retirada de testículo. Sociedade Brasileira de Urologia alerta para os sintomas e importância do diagnóstico e tratamento precoces</w:t>
      </w:r>
    </w:p>
    <w:p w14:paraId="36EF2D33" w14:textId="77777777" w:rsidR="004E57BF" w:rsidRDefault="004E57BF" w:rsidP="5F5184A1">
      <w:pPr>
        <w:spacing w:after="0" w:line="240" w:lineRule="auto"/>
        <w:jc w:val="center"/>
      </w:pPr>
    </w:p>
    <w:p w14:paraId="247661D2" w14:textId="40DCF2D3" w:rsidR="00EA6353" w:rsidRDefault="00C94EF5" w:rsidP="00EA6353">
      <w:pPr>
        <w:spacing w:after="0" w:line="240" w:lineRule="auto"/>
      </w:pPr>
      <w:r>
        <w:t>Tipo de tumor que</w:t>
      </w:r>
      <w:r w:rsidR="00EA6353">
        <w:t xml:space="preserve"> afeta homens </w:t>
      </w:r>
      <w:r w:rsidR="00AA5726">
        <w:t>majoritariamente</w:t>
      </w:r>
      <w:r>
        <w:t xml:space="preserve"> na </w:t>
      </w:r>
      <w:r w:rsidR="00AA5726">
        <w:t>idade reprodutiva</w:t>
      </w:r>
      <w:r w:rsidR="00EA6353">
        <w:t xml:space="preserve"> </w:t>
      </w:r>
      <w:r w:rsidR="00AA5726">
        <w:t>(</w:t>
      </w:r>
      <w:r w:rsidR="00EA6353">
        <w:t>entre os 15 e 35 anos</w:t>
      </w:r>
      <w:r w:rsidR="00AA5726">
        <w:t>), o câncer de testículo</w:t>
      </w:r>
      <w:r w:rsidR="000404CB">
        <w:t xml:space="preserve"> </w:t>
      </w:r>
      <w:r w:rsidR="008E5ADF">
        <w:t>foi responsável por</w:t>
      </w:r>
      <w:r w:rsidR="0016423A">
        <w:t xml:space="preserve"> mais de 3</w:t>
      </w:r>
      <w:r w:rsidR="00C04D4F">
        <w:t>.700 mortes</w:t>
      </w:r>
      <w:r w:rsidR="008E5ADF">
        <w:t xml:space="preserve"> </w:t>
      </w:r>
      <w:r w:rsidR="00E20A86">
        <w:t xml:space="preserve">no país </w:t>
      </w:r>
      <w:r w:rsidR="008E5ADF">
        <w:t xml:space="preserve">entre </w:t>
      </w:r>
      <w:r w:rsidR="00C04D4F">
        <w:t>2012 e 2021</w:t>
      </w:r>
      <w:r w:rsidR="008E5ADF">
        <w:t>, de acordo com dados do Atlas d</w:t>
      </w:r>
      <w:r w:rsidR="00187B0D">
        <w:t>e</w:t>
      </w:r>
      <w:r w:rsidR="008E5ADF">
        <w:t xml:space="preserve"> Mortalidade do Instituto Nacional de Câncer (Inca).</w:t>
      </w:r>
      <w:r w:rsidR="00A83942">
        <w:t xml:space="preserve"> </w:t>
      </w:r>
      <w:r w:rsidR="00187B0D">
        <w:t>E n</w:t>
      </w:r>
      <w:r w:rsidR="00A83942">
        <w:t xml:space="preserve">úmeros do Ministério da Saúde </w:t>
      </w:r>
      <w:r w:rsidR="008E27BC">
        <w:t>indicam</w:t>
      </w:r>
      <w:r w:rsidR="00C56CC8">
        <w:t xml:space="preserve"> mais de</w:t>
      </w:r>
      <w:r w:rsidR="00A83942">
        <w:t xml:space="preserve"> 25</w:t>
      </w:r>
      <w:r w:rsidR="00C56CC8">
        <w:t xml:space="preserve"> mil</w:t>
      </w:r>
      <w:r w:rsidR="00A83942">
        <w:t xml:space="preserve"> orquiectomias (</w:t>
      </w:r>
      <w:r w:rsidR="00C56CC8">
        <w:t xml:space="preserve">cirurgia para </w:t>
      </w:r>
      <w:r w:rsidR="00A83942">
        <w:t>retirada de um ou ambos os testículos)</w:t>
      </w:r>
      <w:r w:rsidR="00C56CC8">
        <w:t xml:space="preserve"> nos últimos cinco anos.</w:t>
      </w:r>
    </w:p>
    <w:p w14:paraId="6F5BE97C" w14:textId="77777777" w:rsidR="000404CB" w:rsidRDefault="000404CB" w:rsidP="00EA6353">
      <w:pPr>
        <w:spacing w:after="0" w:line="240" w:lineRule="auto"/>
      </w:pPr>
    </w:p>
    <w:p w14:paraId="3CEA1BCD" w14:textId="63D6D870" w:rsidR="005D55EB" w:rsidRDefault="00DB561C" w:rsidP="005D55EB">
      <w:pPr>
        <w:spacing w:after="0" w:line="240" w:lineRule="auto"/>
      </w:pPr>
      <w:r>
        <w:t>Oito</w:t>
      </w:r>
      <w:r w:rsidR="005D55EB">
        <w:t xml:space="preserve"> de abril </w:t>
      </w:r>
      <w:r w:rsidR="006F5720">
        <w:t xml:space="preserve">foi instituído </w:t>
      </w:r>
      <w:r>
        <w:t xml:space="preserve">como </w:t>
      </w:r>
      <w:r w:rsidR="006F5720">
        <w:t>o Dia Mundial de Combate ao Câncer</w:t>
      </w:r>
      <w:r>
        <w:t xml:space="preserve">, e a </w:t>
      </w:r>
      <w:r w:rsidR="005D55EB" w:rsidRPr="00894CF4">
        <w:rPr>
          <w:b/>
          <w:bCs/>
        </w:rPr>
        <w:t>Sociedade Brasileira de Urologia</w:t>
      </w:r>
      <w:r w:rsidR="005D55EB">
        <w:t xml:space="preserve"> (SBU) aproveita </w:t>
      </w:r>
      <w:r>
        <w:t>a data para alertar sobre esse tipo de tumor, que, apesar de raro</w:t>
      </w:r>
      <w:r w:rsidR="00964318">
        <w:t>,</w:t>
      </w:r>
      <w:r>
        <w:t xml:space="preserve"> pode impactar negativamente a vida do homem</w:t>
      </w:r>
      <w:r w:rsidR="00E53B5A">
        <w:t xml:space="preserve"> jovem</w:t>
      </w:r>
      <w:r>
        <w:t xml:space="preserve">. </w:t>
      </w:r>
      <w:r w:rsidR="00B25474">
        <w:t>Ao longo do mês</w:t>
      </w:r>
      <w:r w:rsidR="0097099A">
        <w:t xml:space="preserve">, a SBU realiza a campanha </w:t>
      </w:r>
      <w:r w:rsidR="0097099A" w:rsidRPr="0097099A">
        <w:rPr>
          <w:b/>
          <w:bCs/>
        </w:rPr>
        <w:t>Abril Lilás</w:t>
      </w:r>
      <w:r w:rsidR="0097099A">
        <w:t xml:space="preserve"> e</w:t>
      </w:r>
      <w:r w:rsidR="00B25474">
        <w:t xml:space="preserve"> posts, vídeos e lives nas redes sociais </w:t>
      </w:r>
      <w:r w:rsidR="00D531E3">
        <w:t xml:space="preserve">(@portaldaurologia) </w:t>
      </w:r>
      <w:r w:rsidR="00B25474">
        <w:t xml:space="preserve">vão esclarecer dúvidas sobre </w:t>
      </w:r>
      <w:r w:rsidR="004B0794">
        <w:t>o câncer de testículo</w:t>
      </w:r>
      <w:r w:rsidR="00B25474">
        <w:t xml:space="preserve"> e chamar atenção para os sinais de alerta.</w:t>
      </w:r>
    </w:p>
    <w:p w14:paraId="6C936A56" w14:textId="77777777" w:rsidR="00EA6353" w:rsidRDefault="00EA6353" w:rsidP="00EA6353">
      <w:pPr>
        <w:spacing w:after="0" w:line="240" w:lineRule="auto"/>
      </w:pPr>
    </w:p>
    <w:p w14:paraId="2ACB0B83" w14:textId="3D86A3DF" w:rsidR="00B97862" w:rsidRPr="005A22E7" w:rsidRDefault="00440530" w:rsidP="00EA6353">
      <w:pPr>
        <w:spacing w:after="0" w:line="240" w:lineRule="auto"/>
        <w:rPr>
          <w:color w:val="FF0000"/>
        </w:rPr>
      </w:pPr>
      <w:r>
        <w:t>Quando se trata de câncer de testículo, o</w:t>
      </w:r>
      <w:r w:rsidR="00FE4B00" w:rsidRPr="005476FC">
        <w:t xml:space="preserve"> objetivo principal é a detecção precoce do </w:t>
      </w:r>
      <w:r w:rsidR="00B97862" w:rsidRPr="005476FC">
        <w:t>tumor</w:t>
      </w:r>
      <w:r w:rsidR="00E53B5A" w:rsidRPr="005476FC">
        <w:t xml:space="preserve">, </w:t>
      </w:r>
      <w:r w:rsidR="004A5813" w:rsidRPr="005476FC">
        <w:t xml:space="preserve">quando as chances de sucesso do tratamento são </w:t>
      </w:r>
      <w:r w:rsidR="004A5813" w:rsidRPr="00F243B4">
        <w:t>maiores</w:t>
      </w:r>
      <w:r w:rsidR="00B97862" w:rsidRPr="00F243B4">
        <w:t xml:space="preserve">. </w:t>
      </w:r>
      <w:r w:rsidR="000C1BB6" w:rsidRPr="00F243B4">
        <w:t>“</w:t>
      </w:r>
      <w:r w:rsidR="00CC2D20" w:rsidRPr="00F243B4">
        <w:t>Ao ser</w:t>
      </w:r>
      <w:r w:rsidR="000C1BB6" w:rsidRPr="00F243B4">
        <w:t xml:space="preserve"> </w:t>
      </w:r>
      <w:r w:rsidR="002A49CA" w:rsidRPr="00F243B4">
        <w:t>diagnosticado</w:t>
      </w:r>
      <w:r w:rsidR="000C1BB6" w:rsidRPr="00F243B4">
        <w:t xml:space="preserve"> precocemente, o câncer de testículo possui mais de 90% de chance de cura</w:t>
      </w:r>
      <w:r w:rsidR="007563FB" w:rsidRPr="00F243B4">
        <w:t>!</w:t>
      </w:r>
      <w:r w:rsidR="000544F0" w:rsidRPr="00F243B4">
        <w:t xml:space="preserve"> Nesse contexto, o autoexame </w:t>
      </w:r>
      <w:r w:rsidR="00C270B1" w:rsidRPr="00F243B4">
        <w:t xml:space="preserve">dos testículos </w:t>
      </w:r>
      <w:r w:rsidR="000544F0" w:rsidRPr="00F243B4">
        <w:t xml:space="preserve">é uma </w:t>
      </w:r>
      <w:r w:rsidR="00737961" w:rsidRPr="00F243B4">
        <w:t xml:space="preserve">importante ferramenta </w:t>
      </w:r>
      <w:r w:rsidR="00C270B1" w:rsidRPr="00F243B4">
        <w:t xml:space="preserve">para </w:t>
      </w:r>
      <w:r w:rsidR="000544F0" w:rsidRPr="00F243B4">
        <w:t>detectar alterações</w:t>
      </w:r>
      <w:r w:rsidR="00A112DB" w:rsidRPr="00F243B4">
        <w:t xml:space="preserve">. </w:t>
      </w:r>
      <w:r w:rsidR="0098046C" w:rsidRPr="00F243B4">
        <w:t>Deve</w:t>
      </w:r>
      <w:r w:rsidR="00A112DB" w:rsidRPr="00F243B4">
        <w:t xml:space="preserve"> ser </w:t>
      </w:r>
      <w:r w:rsidR="0001497E" w:rsidRPr="00F243B4">
        <w:t>incentivado que o adolescente realize essa apalpação preferencialmente</w:t>
      </w:r>
      <w:r w:rsidR="00A112DB" w:rsidRPr="00F243B4">
        <w:t xml:space="preserve"> durante o banho</w:t>
      </w:r>
      <w:r w:rsidR="000544F0" w:rsidRPr="00F243B4">
        <w:t xml:space="preserve"> </w:t>
      </w:r>
      <w:r w:rsidR="002A49CA" w:rsidRPr="00F243B4">
        <w:t xml:space="preserve">e, caso encontre alguma anormalidade, procure um urologista”, </w:t>
      </w:r>
      <w:r w:rsidR="002E17F1" w:rsidRPr="00F243B4">
        <w:t>orienta o presidente da SBU, Dr. Luiz Otavio Torres.</w:t>
      </w:r>
    </w:p>
    <w:p w14:paraId="4AB31CBA" w14:textId="77777777" w:rsidR="00FE4B00" w:rsidRDefault="00FE4B00" w:rsidP="00EA6353">
      <w:pPr>
        <w:spacing w:after="0" w:line="240" w:lineRule="auto"/>
      </w:pPr>
    </w:p>
    <w:p w14:paraId="60042A7D" w14:textId="6CD96D78" w:rsidR="67706A45" w:rsidRDefault="00451356" w:rsidP="67706A45">
      <w:pPr>
        <w:spacing w:after="0" w:line="240" w:lineRule="auto"/>
        <w:ind w:left="-20" w:right="-20"/>
      </w:pPr>
      <w:r w:rsidRPr="00451356">
        <w:t>O autoexame deve ser realizado em pé, durante o banho, ou em frente ao espelho, apalpando os testículos, comparando um lado e outro e verificando se há diferenças, sobretudo, algum nódulo endurecido, alteração de tamanho entre eles, dor no abdômen, na virilha ou no escroto.</w:t>
      </w:r>
    </w:p>
    <w:p w14:paraId="77B95B31" w14:textId="77777777" w:rsidR="00451356" w:rsidRDefault="00451356" w:rsidP="67706A45">
      <w:pPr>
        <w:spacing w:after="0" w:line="240" w:lineRule="auto"/>
        <w:ind w:left="-20" w:right="-20"/>
        <w:rPr>
          <w:b/>
          <w:bCs/>
        </w:rPr>
      </w:pPr>
    </w:p>
    <w:p w14:paraId="6E635628" w14:textId="42F5F03D" w:rsidR="00EA6353" w:rsidRDefault="46419B91" w:rsidP="00EA6353">
      <w:pPr>
        <w:spacing w:after="0" w:line="240" w:lineRule="auto"/>
        <w:rPr>
          <w:b/>
          <w:bCs/>
        </w:rPr>
      </w:pPr>
      <w:r w:rsidRPr="46419B91">
        <w:rPr>
          <w:b/>
          <w:bCs/>
        </w:rPr>
        <w:t>Sinais de alerta</w:t>
      </w:r>
    </w:p>
    <w:p w14:paraId="2ABF8D15" w14:textId="571F6FA8" w:rsidR="00106A87" w:rsidRDefault="008B457E" w:rsidP="00EA6353">
      <w:pPr>
        <w:spacing w:after="0" w:line="240" w:lineRule="auto"/>
      </w:pPr>
      <w:r w:rsidRPr="008B457E">
        <w:t xml:space="preserve">Alguns sintomas do câncer de testículo podem ser confundidos com outras doenças, como inflamação no próprio testículo ou no epidídimo (estrutura com pequenos canais atrás do testículo onde ficam armazenados os espermatozoides até o seu amadurecimento), </w:t>
      </w:r>
      <w:proofErr w:type="spellStart"/>
      <w:r w:rsidRPr="008B457E">
        <w:t>hidrocele</w:t>
      </w:r>
      <w:proofErr w:type="spellEnd"/>
      <w:r w:rsidRPr="008B457E">
        <w:t xml:space="preserve"> (acúmulo de líquido na bolsa escrotal) e varicocele (dilatação anormal das veias testiculares). Por isso é importante a avaliação de um urologista ao notar algo diferente.</w:t>
      </w:r>
    </w:p>
    <w:p w14:paraId="184826A5" w14:textId="77777777" w:rsidR="008B457E" w:rsidRDefault="008B457E" w:rsidP="00EA6353">
      <w:pPr>
        <w:spacing w:after="0" w:line="240" w:lineRule="auto"/>
      </w:pPr>
    </w:p>
    <w:p w14:paraId="7D6F8EF6" w14:textId="454043FA" w:rsidR="00106A87" w:rsidRPr="00BE649E" w:rsidRDefault="00497318" w:rsidP="00EA6353">
      <w:pPr>
        <w:spacing w:after="0" w:line="240" w:lineRule="auto"/>
      </w:pPr>
      <w:r>
        <w:t>O</w:t>
      </w:r>
      <w:r w:rsidR="00106A87">
        <w:t xml:space="preserve">s sinais mais comuns </w:t>
      </w:r>
      <w:r w:rsidR="00C96B5A">
        <w:t xml:space="preserve">da doença </w:t>
      </w:r>
      <w:r w:rsidR="00106A87">
        <w:t>incluem:</w:t>
      </w:r>
    </w:p>
    <w:p w14:paraId="60241805" w14:textId="77777777" w:rsidR="00BE649E" w:rsidRPr="004A5813" w:rsidRDefault="00BE649E" w:rsidP="00EA6353">
      <w:pPr>
        <w:spacing w:after="0" w:line="240" w:lineRule="auto"/>
        <w:rPr>
          <w:b/>
          <w:bCs/>
        </w:rPr>
      </w:pPr>
    </w:p>
    <w:p w14:paraId="73ED328A" w14:textId="360963BC" w:rsidR="00EA6353" w:rsidRDefault="00EA6353" w:rsidP="007C71DE">
      <w:pPr>
        <w:pStyle w:val="PargrafodaLista"/>
        <w:numPr>
          <w:ilvl w:val="0"/>
          <w:numId w:val="2"/>
        </w:numPr>
        <w:spacing w:after="0" w:line="240" w:lineRule="auto"/>
        <w:ind w:left="567" w:hanging="425"/>
      </w:pPr>
      <w:r>
        <w:t>Caroço ou inchaço em um dos testículos, mesmo sem dor</w:t>
      </w:r>
    </w:p>
    <w:p w14:paraId="6DB8DBA1" w14:textId="0A79B443" w:rsidR="00EA6353" w:rsidRDefault="00EA6353" w:rsidP="007C71DE">
      <w:pPr>
        <w:pStyle w:val="PargrafodaLista"/>
        <w:numPr>
          <w:ilvl w:val="0"/>
          <w:numId w:val="2"/>
        </w:numPr>
        <w:spacing w:after="0" w:line="240" w:lineRule="auto"/>
        <w:ind w:left="567" w:hanging="425"/>
      </w:pPr>
      <w:r>
        <w:t>Alterações na textura dos testículos</w:t>
      </w:r>
    </w:p>
    <w:p w14:paraId="67CEA74C" w14:textId="29D78A5D" w:rsidR="00EA6353" w:rsidRDefault="00EA6353" w:rsidP="007C71DE">
      <w:pPr>
        <w:pStyle w:val="PargrafodaLista"/>
        <w:numPr>
          <w:ilvl w:val="0"/>
          <w:numId w:val="2"/>
        </w:numPr>
        <w:spacing w:after="0" w:line="240" w:lineRule="auto"/>
        <w:ind w:left="567" w:hanging="425"/>
      </w:pPr>
      <w:r>
        <w:t xml:space="preserve">Desconforto na parte </w:t>
      </w:r>
      <w:r w:rsidR="00FE2BFA">
        <w:t>inferior do abdômen</w:t>
      </w:r>
      <w:r>
        <w:t xml:space="preserve"> ou </w:t>
      </w:r>
      <w:r w:rsidR="00FE2BFA">
        <w:t xml:space="preserve">nas </w:t>
      </w:r>
      <w:r>
        <w:t>costas</w:t>
      </w:r>
    </w:p>
    <w:p w14:paraId="115DCB6E" w14:textId="2DEEC791" w:rsidR="00C96B5A" w:rsidRDefault="00EA6353" w:rsidP="007C71DE">
      <w:pPr>
        <w:pStyle w:val="PargrafodaLista"/>
        <w:numPr>
          <w:ilvl w:val="0"/>
          <w:numId w:val="2"/>
        </w:numPr>
        <w:spacing w:after="0" w:line="240" w:lineRule="auto"/>
        <w:ind w:left="567" w:hanging="425"/>
      </w:pPr>
      <w:r>
        <w:t>Fraqueza</w:t>
      </w:r>
    </w:p>
    <w:p w14:paraId="6E90FEA6" w14:textId="77777777" w:rsidR="00C96B5A" w:rsidRDefault="00C96B5A" w:rsidP="007C71DE">
      <w:pPr>
        <w:pStyle w:val="PargrafodaLista"/>
        <w:numPr>
          <w:ilvl w:val="0"/>
          <w:numId w:val="1"/>
        </w:numPr>
        <w:spacing w:after="0" w:line="240" w:lineRule="auto"/>
        <w:ind w:left="567" w:hanging="425"/>
      </w:pPr>
      <w:r>
        <w:t>Tosse</w:t>
      </w:r>
    </w:p>
    <w:p w14:paraId="7DF4F987" w14:textId="7BB88889" w:rsidR="00EA6353" w:rsidRDefault="00C96B5A" w:rsidP="007C71DE">
      <w:pPr>
        <w:pStyle w:val="PargrafodaLista"/>
        <w:numPr>
          <w:ilvl w:val="0"/>
          <w:numId w:val="1"/>
        </w:numPr>
        <w:spacing w:after="0" w:line="240" w:lineRule="auto"/>
        <w:ind w:left="567" w:hanging="425"/>
      </w:pPr>
      <w:r>
        <w:t>F</w:t>
      </w:r>
      <w:r w:rsidR="00EA6353">
        <w:t>alta de ar</w:t>
      </w:r>
    </w:p>
    <w:p w14:paraId="3A15B7F7" w14:textId="77777777" w:rsidR="00EA6353" w:rsidRDefault="00EA6353" w:rsidP="00EA6353">
      <w:pPr>
        <w:spacing w:after="0" w:line="240" w:lineRule="auto"/>
      </w:pPr>
    </w:p>
    <w:p w14:paraId="43A2DCB4" w14:textId="77777777" w:rsidR="007563FB" w:rsidRDefault="00EA6353" w:rsidP="00EA6353">
      <w:pPr>
        <w:spacing w:after="0" w:line="240" w:lineRule="auto"/>
        <w:rPr>
          <w:b/>
          <w:bCs/>
        </w:rPr>
      </w:pPr>
      <w:r w:rsidRPr="007563FB">
        <w:rPr>
          <w:b/>
          <w:bCs/>
        </w:rPr>
        <w:t>Fatores de risco</w:t>
      </w:r>
    </w:p>
    <w:p w14:paraId="5278FDA5" w14:textId="328EF802" w:rsidR="00EA6353" w:rsidRDefault="00A80622" w:rsidP="00EA6353">
      <w:pPr>
        <w:spacing w:after="0" w:line="240" w:lineRule="auto"/>
      </w:pPr>
      <w:r w:rsidRPr="00A80622">
        <w:t>Entre os fatores que podem aumentar as chances de aparecimento da doença estão:</w:t>
      </w:r>
      <w:r w:rsidR="00EA6353" w:rsidRPr="00A80622">
        <w:t xml:space="preserve"> </w:t>
      </w:r>
    </w:p>
    <w:p w14:paraId="25F51FBE" w14:textId="77777777" w:rsidR="00A80622" w:rsidRPr="00A80622" w:rsidRDefault="00A80622" w:rsidP="00EA6353">
      <w:pPr>
        <w:spacing w:after="0" w:line="240" w:lineRule="auto"/>
      </w:pPr>
    </w:p>
    <w:p w14:paraId="06A7924A" w14:textId="6FA613EC" w:rsidR="00EA6353" w:rsidRDefault="00EA6353" w:rsidP="007C71DE">
      <w:pPr>
        <w:spacing w:after="0" w:line="240" w:lineRule="auto"/>
        <w:ind w:left="567" w:hanging="425"/>
      </w:pPr>
      <w:r>
        <w:t>•</w:t>
      </w:r>
      <w:r>
        <w:tab/>
        <w:t xml:space="preserve">Histórico familiar </w:t>
      </w:r>
      <w:r w:rsidR="00451356">
        <w:t>ou pessoal da doença</w:t>
      </w:r>
    </w:p>
    <w:p w14:paraId="65A3D136" w14:textId="1275FF98" w:rsidR="00EA6353" w:rsidRDefault="00EA6353" w:rsidP="007C71DE">
      <w:pPr>
        <w:spacing w:after="0" w:line="240" w:lineRule="auto"/>
        <w:ind w:left="567" w:hanging="425"/>
      </w:pPr>
      <w:r>
        <w:t>•</w:t>
      </w:r>
      <w:r>
        <w:tab/>
        <w:t xml:space="preserve">Criptorquidia (testículo ausente na bolsa </w:t>
      </w:r>
      <w:r w:rsidR="00B659F0">
        <w:t xml:space="preserve">escrotal </w:t>
      </w:r>
      <w:r>
        <w:t>ou que precisou ser descido com cirurgia)</w:t>
      </w:r>
    </w:p>
    <w:p w14:paraId="589DE486" w14:textId="53DB294F" w:rsidR="00EA6353" w:rsidRDefault="00EA6353" w:rsidP="007C71DE">
      <w:pPr>
        <w:spacing w:after="0" w:line="240" w:lineRule="auto"/>
        <w:ind w:left="567" w:hanging="425"/>
      </w:pPr>
      <w:r>
        <w:t>•</w:t>
      </w:r>
      <w:r>
        <w:tab/>
        <w:t xml:space="preserve">Homens que receberam radiação </w:t>
      </w:r>
    </w:p>
    <w:p w14:paraId="3C54D5B3" w14:textId="3A7CEEE1" w:rsidR="00EA6353" w:rsidRDefault="00EA6353" w:rsidP="007C71DE">
      <w:pPr>
        <w:spacing w:after="0" w:line="240" w:lineRule="auto"/>
        <w:ind w:left="567" w:hanging="425"/>
      </w:pPr>
      <w:r>
        <w:t>•</w:t>
      </w:r>
      <w:r>
        <w:tab/>
        <w:t>Alterações genéticas</w:t>
      </w:r>
    </w:p>
    <w:p w14:paraId="1D9718E2" w14:textId="77777777" w:rsidR="00EA6353" w:rsidRDefault="00EA6353" w:rsidP="00EA6353">
      <w:pPr>
        <w:spacing w:after="0" w:line="240" w:lineRule="auto"/>
      </w:pPr>
    </w:p>
    <w:p w14:paraId="440DF3D7" w14:textId="45A75A2E" w:rsidR="00051082" w:rsidRPr="006C1C6C" w:rsidRDefault="001E3712" w:rsidP="00EA6353">
      <w:pPr>
        <w:spacing w:after="0" w:line="240" w:lineRule="auto"/>
        <w:rPr>
          <w:color w:val="FF0000"/>
        </w:rPr>
      </w:pPr>
      <w:r w:rsidRPr="00051082">
        <w:t xml:space="preserve">Ter </w:t>
      </w:r>
      <w:r w:rsidR="00B94B2B" w:rsidRPr="00051082">
        <w:t xml:space="preserve">testículos de tamanhos diferentes pode ser </w:t>
      </w:r>
      <w:r w:rsidR="00760DDF" w:rsidRPr="00051082">
        <w:t xml:space="preserve">motivo de preocupação? </w:t>
      </w:r>
      <w:r w:rsidR="00051082" w:rsidRPr="00051082">
        <w:t>“É normal que haja alguma diferença no tamanho dos órgãos que são pares, como os testículos, e isso, a princípio, não deve preocupar. Mas se essa diferença não existia ou começou a ser percebida de uma hora para outra, sobretudo se for acompanhada por outros sinais e sintomas, como sensação de peso ou desconforto, irregularidades, nódulos ou diferença na consistência do órgão, é importante que uma avaliação médica, de preferência urológica, seja realizada o quanto antes, a</w:t>
      </w:r>
      <w:r w:rsidR="009E32AF">
        <w:t xml:space="preserve"> </w:t>
      </w:r>
      <w:r w:rsidR="00051082" w:rsidRPr="00051082">
        <w:t>fim de se descartar causas que precisem de tratamento mais imediato, com o câncer de testículo, já que isso pode fazer toda a diferença no tipo de tratamento e nos índices de cura. Apesar de que muitos pacientes não terão fatores de risco identificáveis – por isso a campanha é dirigida a todos –</w:t>
      </w:r>
      <w:r w:rsidR="00CF2D99">
        <w:t>,</w:t>
      </w:r>
      <w:r w:rsidR="00051082" w:rsidRPr="00051082">
        <w:t xml:space="preserve"> há situações que reconhecidamente aumentam a propensão ao desenvolvimento da doença e quem as tiver deve dedicar mais atenção. </w:t>
      </w:r>
      <w:r w:rsidR="00CF2D99">
        <w:t>E</w:t>
      </w:r>
      <w:r w:rsidR="00051082" w:rsidRPr="00051082">
        <w:t>ntre esses, vale destacar a criptorquidia, que é uma condição em que um ou os dois testículos não desceram naturalmente para a sua posição na bolsa escrotal – incluindo os casos em que o posicionamento foi feito cirurgicamente. Também são reconhecidos os fatores genéticos, hereditários e até raciais, além dos potenciais efeitos das radiações ionizantes, seja os por tratamentos de saúde ou por razões ocupacionais, a infertilidade, principalmente as formas mais acentuadas, e ainda uma séri</w:t>
      </w:r>
      <w:r w:rsidR="00015D6E">
        <w:t>e</w:t>
      </w:r>
      <w:r w:rsidR="00051082" w:rsidRPr="00051082">
        <w:t xml:space="preserve"> de substâncias potencialmente nocivas </w:t>
      </w:r>
      <w:r w:rsidR="00CF2D99">
        <w:t xml:space="preserve">a </w:t>
      </w:r>
      <w:r w:rsidR="00051082" w:rsidRPr="00051082">
        <w:t xml:space="preserve">que as pessoas podem estar sendo expostas”, ressalta Dra. Karin Jaeger Anzolch, </w:t>
      </w:r>
      <w:r w:rsidR="00CF2D99">
        <w:t>d</w:t>
      </w:r>
      <w:r w:rsidR="00051082" w:rsidRPr="00051082">
        <w:t xml:space="preserve">iretora de Comunicação da SBU e coordenadora da </w:t>
      </w:r>
      <w:r w:rsidR="00CF2D99">
        <w:t>c</w:t>
      </w:r>
      <w:r w:rsidR="00051082" w:rsidRPr="00051082">
        <w:t>ampanha.</w:t>
      </w:r>
    </w:p>
    <w:p w14:paraId="5EADFDBE" w14:textId="77777777" w:rsidR="00C94EF5" w:rsidRDefault="00C94EF5" w:rsidP="00EA6353">
      <w:pPr>
        <w:spacing w:after="0" w:line="240" w:lineRule="auto"/>
      </w:pPr>
    </w:p>
    <w:p w14:paraId="1BBDFC11" w14:textId="22782AF4" w:rsidR="00A76F34" w:rsidRPr="00857D5D" w:rsidRDefault="00857D5D" w:rsidP="00EA6353">
      <w:pPr>
        <w:spacing w:after="0" w:line="240" w:lineRule="auto"/>
        <w:rPr>
          <w:b/>
          <w:bCs/>
        </w:rPr>
      </w:pPr>
      <w:r w:rsidRPr="00857D5D">
        <w:rPr>
          <w:b/>
          <w:bCs/>
        </w:rPr>
        <w:t>Indicadores</w:t>
      </w:r>
    </w:p>
    <w:p w14:paraId="73FBB3FC" w14:textId="4B4A9D40" w:rsidR="00935D7D" w:rsidRDefault="00935D7D" w:rsidP="00935D7D">
      <w:pPr>
        <w:spacing w:after="0" w:line="240" w:lineRule="auto"/>
      </w:pPr>
      <w:r>
        <w:t xml:space="preserve">Números do Sistema de Informações Hospitalares (SIH) do Ministério da Saúde apontam um total de </w:t>
      </w:r>
      <w:r w:rsidR="00896D79">
        <w:t>25.075</w:t>
      </w:r>
      <w:r>
        <w:t xml:space="preserve"> orquiectomias (retirada de um ou ambos os testículos) de 2019 a 202</w:t>
      </w:r>
      <w:r w:rsidR="00896D79">
        <w:t>3</w:t>
      </w:r>
      <w:r>
        <w:t>. O estado com maior número de procedimentos é São Paulo (</w:t>
      </w:r>
      <w:r w:rsidR="00896D79">
        <w:t>6.</w:t>
      </w:r>
      <w:r w:rsidR="00E322A3">
        <w:t>1</w:t>
      </w:r>
      <w:r w:rsidR="00896D79">
        <w:t>32</w:t>
      </w:r>
      <w:r>
        <w:t>), seguido por Minas Gerais (</w:t>
      </w:r>
      <w:r w:rsidR="00E322A3">
        <w:t>2.430</w:t>
      </w:r>
      <w:r>
        <w:t>), Paraná (</w:t>
      </w:r>
      <w:r w:rsidR="00CB4691">
        <w:t>2.013</w:t>
      </w:r>
      <w:r>
        <w:t>), Rio Grande do Sul (1.</w:t>
      </w:r>
      <w:r w:rsidR="00CB4691">
        <w:t>976</w:t>
      </w:r>
      <w:r>
        <w:t>) e Rio de Janeiro (1.</w:t>
      </w:r>
      <w:r w:rsidR="00CB4691">
        <w:t>857</w:t>
      </w:r>
      <w:r>
        <w:t>)</w:t>
      </w:r>
      <w:r w:rsidR="003E623E">
        <w:t>, conforme a tabela a seguir</w:t>
      </w:r>
      <w:r>
        <w:t>.</w:t>
      </w:r>
    </w:p>
    <w:p w14:paraId="755DFBC2" w14:textId="3C91AB8A" w:rsidR="00C61E0E" w:rsidRDefault="00C61E0E">
      <w:r>
        <w:br w:type="page"/>
      </w:r>
    </w:p>
    <w:p w14:paraId="3B6E93CA" w14:textId="77777777" w:rsidR="005000D0" w:rsidRDefault="005000D0" w:rsidP="00EA6353">
      <w:pPr>
        <w:spacing w:after="0" w:line="240" w:lineRule="auto"/>
      </w:pPr>
    </w:p>
    <w:p w14:paraId="547C5223" w14:textId="18229D14" w:rsidR="005000D0" w:rsidRDefault="005000D0" w:rsidP="005000D0">
      <w:pPr>
        <w:spacing w:after="0" w:line="240" w:lineRule="auto"/>
        <w:rPr>
          <w:rFonts w:ascii="Calibri" w:eastAsia="Calibri" w:hAnsi="Calibri" w:cs="Calibri"/>
          <w:b/>
          <w:bCs/>
          <w:sz w:val="20"/>
          <w:szCs w:val="20"/>
        </w:rPr>
      </w:pPr>
      <w:r w:rsidRPr="3AA98E63">
        <w:rPr>
          <w:rFonts w:ascii="Calibri" w:eastAsia="Calibri" w:hAnsi="Calibri" w:cs="Calibri"/>
          <w:b/>
          <w:bCs/>
          <w:sz w:val="20"/>
          <w:szCs w:val="20"/>
        </w:rPr>
        <w:t>Orquiectomia uni ou bilateral c</w:t>
      </w:r>
      <w:r>
        <w:rPr>
          <w:rFonts w:ascii="Calibri" w:eastAsia="Calibri" w:hAnsi="Calibri" w:cs="Calibri"/>
          <w:b/>
          <w:bCs/>
          <w:sz w:val="20"/>
          <w:szCs w:val="20"/>
        </w:rPr>
        <w:t>om</w:t>
      </w:r>
      <w:r w:rsidRPr="3AA98E63">
        <w:rPr>
          <w:rFonts w:ascii="Calibri" w:eastAsia="Calibri" w:hAnsi="Calibri" w:cs="Calibri"/>
          <w:b/>
          <w:bCs/>
          <w:sz w:val="20"/>
          <w:szCs w:val="20"/>
        </w:rPr>
        <w:t xml:space="preserve"> esvaziamento ganglionar, orquiectomia unilateral, orquiectomia uni ou bilateral c</w:t>
      </w:r>
      <w:r>
        <w:rPr>
          <w:rFonts w:ascii="Calibri" w:eastAsia="Calibri" w:hAnsi="Calibri" w:cs="Calibri"/>
          <w:b/>
          <w:bCs/>
          <w:sz w:val="20"/>
          <w:szCs w:val="20"/>
        </w:rPr>
        <w:t>om</w:t>
      </w:r>
      <w:r w:rsidRPr="3AA98E63">
        <w:rPr>
          <w:rFonts w:ascii="Calibri" w:eastAsia="Calibri" w:hAnsi="Calibri" w:cs="Calibri"/>
          <w:b/>
          <w:bCs/>
          <w:sz w:val="20"/>
          <w:szCs w:val="20"/>
        </w:rPr>
        <w:t xml:space="preserve"> esvaziamento ganglionar em oncologia, orquiectomia unilateral em oncologia, de 20</w:t>
      </w:r>
      <w:r w:rsidR="00935D7D">
        <w:rPr>
          <w:rFonts w:ascii="Calibri" w:eastAsia="Calibri" w:hAnsi="Calibri" w:cs="Calibri"/>
          <w:b/>
          <w:bCs/>
          <w:sz w:val="20"/>
          <w:szCs w:val="20"/>
        </w:rPr>
        <w:t>19</w:t>
      </w:r>
      <w:r w:rsidRPr="3AA98E63">
        <w:rPr>
          <w:rFonts w:ascii="Calibri" w:eastAsia="Calibri" w:hAnsi="Calibri" w:cs="Calibri"/>
          <w:b/>
          <w:bCs/>
          <w:sz w:val="20"/>
          <w:szCs w:val="20"/>
        </w:rPr>
        <w:t xml:space="preserve"> a 202</w:t>
      </w:r>
      <w:r>
        <w:rPr>
          <w:rFonts w:ascii="Calibri" w:eastAsia="Calibri" w:hAnsi="Calibri" w:cs="Calibri"/>
          <w:b/>
          <w:bCs/>
          <w:sz w:val="20"/>
          <w:szCs w:val="20"/>
        </w:rPr>
        <w:t>3</w:t>
      </w:r>
    </w:p>
    <w:p w14:paraId="398FEAF3" w14:textId="77777777" w:rsidR="005000D0" w:rsidRDefault="005000D0" w:rsidP="005000D0">
      <w:pPr>
        <w:spacing w:after="0" w:line="240" w:lineRule="auto"/>
        <w:rPr>
          <w:rFonts w:ascii="Calibri" w:eastAsia="Calibri" w:hAnsi="Calibri" w:cs="Calibri"/>
          <w:sz w:val="20"/>
          <w:szCs w:val="20"/>
        </w:rPr>
      </w:pPr>
    </w:p>
    <w:tbl>
      <w:tblPr>
        <w:tblW w:w="5000" w:type="pct"/>
        <w:tblLook w:val="04A0" w:firstRow="1" w:lastRow="0" w:firstColumn="1" w:lastColumn="0" w:noHBand="0" w:noVBand="1"/>
      </w:tblPr>
      <w:tblGrid>
        <w:gridCol w:w="2085"/>
        <w:gridCol w:w="1067"/>
        <w:gridCol w:w="1067"/>
        <w:gridCol w:w="1067"/>
        <w:gridCol w:w="1067"/>
        <w:gridCol w:w="1067"/>
        <w:gridCol w:w="1064"/>
      </w:tblGrid>
      <w:tr w:rsidR="004318BB" w14:paraId="211FB274" w14:textId="77777777" w:rsidTr="0082667A">
        <w:trPr>
          <w:trHeight w:val="145"/>
        </w:trPr>
        <w:tc>
          <w:tcPr>
            <w:tcW w:w="1228" w:type="pct"/>
            <w:tcBorders>
              <w:top w:val="single" w:sz="8" w:space="0" w:color="auto"/>
              <w:left w:val="single" w:sz="8" w:space="0" w:color="auto"/>
              <w:bottom w:val="single" w:sz="8" w:space="0" w:color="auto"/>
              <w:right w:val="single" w:sz="8" w:space="0" w:color="auto"/>
            </w:tcBorders>
            <w:shd w:val="clear" w:color="auto" w:fill="CC99FF"/>
            <w:tcMar>
              <w:left w:w="70" w:type="dxa"/>
              <w:right w:w="70" w:type="dxa"/>
            </w:tcMar>
            <w:vAlign w:val="bottom"/>
          </w:tcPr>
          <w:p w14:paraId="3326DAF8" w14:textId="77777777" w:rsidR="004318BB" w:rsidRPr="003A2C1D" w:rsidRDefault="003F32F1" w:rsidP="00C61E0E">
            <w:pPr>
              <w:spacing w:after="0"/>
              <w:rPr>
                <w:rFonts w:eastAsia="Calibri" w:cstheme="minorHAnsi"/>
                <w:b/>
                <w:bCs/>
                <w:color w:val="000000" w:themeColor="text1"/>
                <w:sz w:val="18"/>
                <w:szCs w:val="18"/>
              </w:rPr>
            </w:pPr>
            <w:r w:rsidRPr="003A2C1D">
              <w:rPr>
                <w:rFonts w:eastAsia="Calibri" w:cstheme="minorHAnsi"/>
                <w:b/>
                <w:bCs/>
                <w:color w:val="000000" w:themeColor="text1"/>
                <w:sz w:val="18"/>
                <w:szCs w:val="18"/>
              </w:rPr>
              <w:t>Estado</w:t>
            </w:r>
          </w:p>
          <w:p w14:paraId="4067DAE9" w14:textId="72393432" w:rsidR="003F32F1" w:rsidRPr="003A2C1D" w:rsidRDefault="003F32F1" w:rsidP="00C61E0E">
            <w:pPr>
              <w:spacing w:after="0"/>
              <w:rPr>
                <w:rFonts w:cstheme="minorHAnsi"/>
                <w:sz w:val="18"/>
                <w:szCs w:val="18"/>
              </w:rPr>
            </w:pPr>
          </w:p>
        </w:tc>
        <w:tc>
          <w:tcPr>
            <w:tcW w:w="629" w:type="pct"/>
            <w:tcBorders>
              <w:top w:val="single" w:sz="8" w:space="0" w:color="auto"/>
              <w:left w:val="single" w:sz="8" w:space="0" w:color="auto"/>
              <w:bottom w:val="single" w:sz="8" w:space="0" w:color="auto"/>
              <w:right w:val="single" w:sz="8" w:space="0" w:color="auto"/>
            </w:tcBorders>
            <w:shd w:val="clear" w:color="auto" w:fill="CC99FF"/>
            <w:vAlign w:val="bottom"/>
          </w:tcPr>
          <w:p w14:paraId="6333322E" w14:textId="77777777" w:rsidR="004318BB" w:rsidRPr="003A2C1D" w:rsidRDefault="004318BB" w:rsidP="00C61E0E">
            <w:pPr>
              <w:spacing w:after="0"/>
              <w:jc w:val="right"/>
              <w:rPr>
                <w:rFonts w:eastAsia="Calibri" w:cstheme="minorHAnsi"/>
                <w:b/>
                <w:bCs/>
                <w:color w:val="000000" w:themeColor="text1"/>
                <w:sz w:val="18"/>
                <w:szCs w:val="18"/>
              </w:rPr>
            </w:pPr>
            <w:r w:rsidRPr="003A2C1D">
              <w:rPr>
                <w:rFonts w:eastAsia="Calibri" w:cstheme="minorHAnsi"/>
                <w:b/>
                <w:bCs/>
                <w:color w:val="000000" w:themeColor="text1"/>
                <w:sz w:val="18"/>
                <w:szCs w:val="18"/>
              </w:rPr>
              <w:t>2019</w:t>
            </w:r>
          </w:p>
          <w:p w14:paraId="7E7C824A" w14:textId="69C22919" w:rsidR="003F32F1" w:rsidRPr="003A2C1D" w:rsidRDefault="003F32F1" w:rsidP="00C61E0E">
            <w:pPr>
              <w:spacing w:after="0"/>
              <w:jc w:val="right"/>
              <w:rPr>
                <w:rFonts w:eastAsia="Calibri" w:cstheme="minorHAnsi"/>
                <w:b/>
                <w:bCs/>
                <w:color w:val="000000" w:themeColor="text1"/>
                <w:sz w:val="18"/>
                <w:szCs w:val="18"/>
              </w:rPr>
            </w:pPr>
          </w:p>
        </w:tc>
        <w:tc>
          <w:tcPr>
            <w:tcW w:w="629" w:type="pct"/>
            <w:tcBorders>
              <w:top w:val="single" w:sz="8" w:space="0" w:color="auto"/>
              <w:left w:val="single" w:sz="8" w:space="0" w:color="auto"/>
              <w:bottom w:val="single" w:sz="8" w:space="0" w:color="auto"/>
              <w:right w:val="single" w:sz="8" w:space="0" w:color="auto"/>
            </w:tcBorders>
            <w:shd w:val="clear" w:color="auto" w:fill="CC99FF"/>
            <w:tcMar>
              <w:left w:w="70" w:type="dxa"/>
              <w:right w:w="70" w:type="dxa"/>
            </w:tcMar>
            <w:vAlign w:val="bottom"/>
          </w:tcPr>
          <w:p w14:paraId="610AC7F0" w14:textId="77777777" w:rsidR="004318BB" w:rsidRPr="003A2C1D" w:rsidRDefault="004318BB" w:rsidP="00C61E0E">
            <w:pPr>
              <w:spacing w:after="0"/>
              <w:jc w:val="right"/>
              <w:rPr>
                <w:rFonts w:eastAsia="Calibri" w:cstheme="minorHAnsi"/>
                <w:b/>
                <w:bCs/>
                <w:color w:val="000000" w:themeColor="text1"/>
                <w:sz w:val="18"/>
                <w:szCs w:val="18"/>
              </w:rPr>
            </w:pPr>
            <w:r w:rsidRPr="003A2C1D">
              <w:rPr>
                <w:rFonts w:eastAsia="Calibri" w:cstheme="minorHAnsi"/>
                <w:b/>
                <w:bCs/>
                <w:color w:val="000000" w:themeColor="text1"/>
                <w:sz w:val="18"/>
                <w:szCs w:val="18"/>
              </w:rPr>
              <w:t>2020</w:t>
            </w:r>
          </w:p>
          <w:p w14:paraId="778C1384" w14:textId="5A085CBE" w:rsidR="003F32F1" w:rsidRPr="003A2C1D" w:rsidRDefault="003F32F1" w:rsidP="00C61E0E">
            <w:pPr>
              <w:spacing w:after="0"/>
              <w:jc w:val="right"/>
              <w:rPr>
                <w:rFonts w:cstheme="minorHAnsi"/>
                <w:sz w:val="18"/>
                <w:szCs w:val="18"/>
              </w:rPr>
            </w:pPr>
          </w:p>
        </w:tc>
        <w:tc>
          <w:tcPr>
            <w:tcW w:w="629" w:type="pct"/>
            <w:tcBorders>
              <w:top w:val="single" w:sz="8" w:space="0" w:color="auto"/>
              <w:left w:val="single" w:sz="8" w:space="0" w:color="auto"/>
              <w:bottom w:val="single" w:sz="8" w:space="0" w:color="auto"/>
              <w:right w:val="single" w:sz="8" w:space="0" w:color="auto"/>
            </w:tcBorders>
            <w:shd w:val="clear" w:color="auto" w:fill="CC99FF"/>
            <w:tcMar>
              <w:left w:w="70" w:type="dxa"/>
              <w:right w:w="70" w:type="dxa"/>
            </w:tcMar>
            <w:vAlign w:val="bottom"/>
          </w:tcPr>
          <w:p w14:paraId="5E025E3E" w14:textId="77777777" w:rsidR="004318BB" w:rsidRPr="003A2C1D" w:rsidRDefault="004318BB" w:rsidP="00C61E0E">
            <w:pPr>
              <w:spacing w:after="0"/>
              <w:jc w:val="right"/>
              <w:rPr>
                <w:rFonts w:eastAsia="Calibri" w:cstheme="minorHAnsi"/>
                <w:b/>
                <w:bCs/>
                <w:color w:val="000000" w:themeColor="text1"/>
                <w:sz w:val="18"/>
                <w:szCs w:val="18"/>
              </w:rPr>
            </w:pPr>
            <w:r w:rsidRPr="003A2C1D">
              <w:rPr>
                <w:rFonts w:eastAsia="Calibri" w:cstheme="minorHAnsi"/>
                <w:b/>
                <w:bCs/>
                <w:color w:val="000000" w:themeColor="text1"/>
                <w:sz w:val="18"/>
                <w:szCs w:val="18"/>
              </w:rPr>
              <w:t>2021</w:t>
            </w:r>
          </w:p>
          <w:p w14:paraId="53D5A3C4" w14:textId="77777777" w:rsidR="003F32F1" w:rsidRPr="003A2C1D" w:rsidRDefault="003F32F1" w:rsidP="00C61E0E">
            <w:pPr>
              <w:spacing w:after="0"/>
              <w:jc w:val="right"/>
              <w:rPr>
                <w:rFonts w:cstheme="minorHAnsi"/>
                <w:sz w:val="18"/>
                <w:szCs w:val="18"/>
              </w:rPr>
            </w:pPr>
          </w:p>
        </w:tc>
        <w:tc>
          <w:tcPr>
            <w:tcW w:w="629" w:type="pct"/>
            <w:tcBorders>
              <w:top w:val="single" w:sz="8" w:space="0" w:color="auto"/>
              <w:left w:val="single" w:sz="8" w:space="0" w:color="auto"/>
              <w:bottom w:val="single" w:sz="8" w:space="0" w:color="auto"/>
              <w:right w:val="single" w:sz="8" w:space="0" w:color="auto"/>
            </w:tcBorders>
            <w:shd w:val="clear" w:color="auto" w:fill="CC99FF"/>
            <w:tcMar>
              <w:left w:w="70" w:type="dxa"/>
              <w:right w:w="70" w:type="dxa"/>
            </w:tcMar>
            <w:vAlign w:val="bottom"/>
          </w:tcPr>
          <w:p w14:paraId="6F71846B" w14:textId="77777777" w:rsidR="004318BB" w:rsidRPr="003A2C1D" w:rsidRDefault="004318BB" w:rsidP="00C61E0E">
            <w:pPr>
              <w:spacing w:after="0"/>
              <w:jc w:val="right"/>
              <w:rPr>
                <w:rFonts w:eastAsia="Calibri" w:cstheme="minorHAnsi"/>
                <w:b/>
                <w:bCs/>
                <w:color w:val="000000" w:themeColor="text1"/>
                <w:sz w:val="18"/>
                <w:szCs w:val="18"/>
              </w:rPr>
            </w:pPr>
            <w:r w:rsidRPr="003A2C1D">
              <w:rPr>
                <w:rFonts w:eastAsia="Calibri" w:cstheme="minorHAnsi"/>
                <w:b/>
                <w:bCs/>
                <w:color w:val="000000" w:themeColor="text1"/>
                <w:sz w:val="18"/>
                <w:szCs w:val="18"/>
              </w:rPr>
              <w:t>2022</w:t>
            </w:r>
          </w:p>
          <w:p w14:paraId="45F876EF" w14:textId="77777777" w:rsidR="003F32F1" w:rsidRPr="003A2C1D" w:rsidRDefault="003F32F1" w:rsidP="00C61E0E">
            <w:pPr>
              <w:spacing w:after="0"/>
              <w:jc w:val="right"/>
              <w:rPr>
                <w:rFonts w:cstheme="minorHAnsi"/>
                <w:sz w:val="18"/>
                <w:szCs w:val="18"/>
              </w:rPr>
            </w:pPr>
          </w:p>
        </w:tc>
        <w:tc>
          <w:tcPr>
            <w:tcW w:w="629" w:type="pct"/>
            <w:tcBorders>
              <w:top w:val="single" w:sz="8" w:space="0" w:color="auto"/>
              <w:left w:val="single" w:sz="8" w:space="0" w:color="auto"/>
              <w:bottom w:val="single" w:sz="8" w:space="0" w:color="auto"/>
              <w:right w:val="single" w:sz="8" w:space="0" w:color="auto"/>
            </w:tcBorders>
            <w:shd w:val="clear" w:color="auto" w:fill="CC99FF"/>
          </w:tcPr>
          <w:p w14:paraId="6C35C57A" w14:textId="0F0A1F0D" w:rsidR="004318BB" w:rsidRPr="003A2C1D" w:rsidRDefault="004318BB" w:rsidP="00C61E0E">
            <w:pPr>
              <w:spacing w:after="0"/>
              <w:jc w:val="right"/>
              <w:rPr>
                <w:rFonts w:eastAsia="Calibri" w:cstheme="minorHAnsi"/>
                <w:b/>
                <w:bCs/>
                <w:color w:val="000000" w:themeColor="text1"/>
                <w:sz w:val="18"/>
                <w:szCs w:val="18"/>
              </w:rPr>
            </w:pPr>
            <w:r w:rsidRPr="003A2C1D">
              <w:rPr>
                <w:rFonts w:eastAsia="Calibri" w:cstheme="minorHAnsi"/>
                <w:b/>
                <w:bCs/>
                <w:color w:val="000000" w:themeColor="text1"/>
                <w:sz w:val="18"/>
                <w:szCs w:val="18"/>
              </w:rPr>
              <w:t>2023</w:t>
            </w:r>
          </w:p>
        </w:tc>
        <w:tc>
          <w:tcPr>
            <w:tcW w:w="629" w:type="pct"/>
            <w:tcBorders>
              <w:top w:val="single" w:sz="8" w:space="0" w:color="auto"/>
              <w:left w:val="single" w:sz="8" w:space="0" w:color="auto"/>
              <w:bottom w:val="single" w:sz="8" w:space="0" w:color="auto"/>
              <w:right w:val="single" w:sz="8" w:space="0" w:color="auto"/>
            </w:tcBorders>
            <w:shd w:val="clear" w:color="auto" w:fill="CC99FF"/>
            <w:tcMar>
              <w:left w:w="70" w:type="dxa"/>
              <w:right w:w="70" w:type="dxa"/>
            </w:tcMar>
            <w:vAlign w:val="bottom"/>
          </w:tcPr>
          <w:p w14:paraId="0F303713" w14:textId="77777777" w:rsidR="004318BB" w:rsidRPr="003A2C1D" w:rsidRDefault="004318BB" w:rsidP="00C61E0E">
            <w:pPr>
              <w:spacing w:after="0"/>
              <w:jc w:val="right"/>
              <w:rPr>
                <w:rFonts w:eastAsia="Calibri" w:cstheme="minorHAnsi"/>
                <w:b/>
                <w:bCs/>
                <w:color w:val="000000" w:themeColor="text1"/>
                <w:sz w:val="18"/>
                <w:szCs w:val="18"/>
              </w:rPr>
            </w:pPr>
            <w:r w:rsidRPr="003A2C1D">
              <w:rPr>
                <w:rFonts w:eastAsia="Calibri" w:cstheme="minorHAnsi"/>
                <w:b/>
                <w:bCs/>
                <w:color w:val="000000" w:themeColor="text1"/>
                <w:sz w:val="18"/>
                <w:szCs w:val="18"/>
              </w:rPr>
              <w:t>Total</w:t>
            </w:r>
          </w:p>
          <w:p w14:paraId="67F79BC5" w14:textId="4547BD4B" w:rsidR="003F32F1" w:rsidRPr="003A2C1D" w:rsidRDefault="003F32F1" w:rsidP="00C61E0E">
            <w:pPr>
              <w:spacing w:after="0"/>
              <w:rPr>
                <w:rFonts w:cstheme="minorHAnsi"/>
                <w:sz w:val="18"/>
                <w:szCs w:val="18"/>
              </w:rPr>
            </w:pPr>
          </w:p>
        </w:tc>
      </w:tr>
      <w:tr w:rsidR="004318BB" w14:paraId="09AA0DCA"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80DD678"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Rondônia</w:t>
            </w:r>
          </w:p>
        </w:tc>
        <w:tc>
          <w:tcPr>
            <w:tcW w:w="629" w:type="pct"/>
            <w:tcBorders>
              <w:top w:val="single" w:sz="8" w:space="0" w:color="auto"/>
              <w:left w:val="single" w:sz="8" w:space="0" w:color="auto"/>
              <w:bottom w:val="single" w:sz="8" w:space="0" w:color="auto"/>
              <w:right w:val="single" w:sz="8" w:space="0" w:color="auto"/>
            </w:tcBorders>
            <w:vAlign w:val="bottom"/>
          </w:tcPr>
          <w:p w14:paraId="37F20CB8" w14:textId="58AFA1E3"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41</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DDDCE96" w14:textId="0EB15AC5"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48</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14AF788"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44</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406E83D"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62</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70086101" w14:textId="466E3A1B"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45</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180818BF" w14:textId="5A6E7E49" w:rsidR="004318BB" w:rsidRPr="003A2C1D" w:rsidRDefault="00F80AEF" w:rsidP="00C61E0E">
            <w:pPr>
              <w:spacing w:after="0"/>
              <w:jc w:val="right"/>
              <w:rPr>
                <w:rFonts w:cstheme="minorHAnsi"/>
                <w:sz w:val="18"/>
                <w:szCs w:val="18"/>
              </w:rPr>
            </w:pPr>
            <w:r w:rsidRPr="003A2C1D">
              <w:rPr>
                <w:rFonts w:cstheme="minorHAnsi"/>
                <w:sz w:val="18"/>
                <w:szCs w:val="18"/>
              </w:rPr>
              <w:t>240</w:t>
            </w:r>
          </w:p>
        </w:tc>
      </w:tr>
      <w:tr w:rsidR="004318BB" w14:paraId="61237C68"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BDFACE9"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Acre</w:t>
            </w:r>
          </w:p>
        </w:tc>
        <w:tc>
          <w:tcPr>
            <w:tcW w:w="629" w:type="pct"/>
            <w:tcBorders>
              <w:top w:val="single" w:sz="8" w:space="0" w:color="auto"/>
              <w:left w:val="single" w:sz="8" w:space="0" w:color="auto"/>
              <w:bottom w:val="single" w:sz="8" w:space="0" w:color="auto"/>
              <w:right w:val="single" w:sz="8" w:space="0" w:color="auto"/>
            </w:tcBorders>
            <w:vAlign w:val="bottom"/>
          </w:tcPr>
          <w:p w14:paraId="44947685" w14:textId="64E25A54"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21</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FC351D3" w14:textId="717D0A63"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21</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326E783"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28</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68C80F4"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26</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17DB4404" w14:textId="66342682"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26</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473BEDED" w14:textId="219E1A7C" w:rsidR="004318BB" w:rsidRPr="003A2C1D" w:rsidRDefault="00F80AEF" w:rsidP="00C61E0E">
            <w:pPr>
              <w:spacing w:after="0"/>
              <w:jc w:val="right"/>
              <w:rPr>
                <w:rFonts w:cstheme="minorHAnsi"/>
                <w:sz w:val="18"/>
                <w:szCs w:val="18"/>
              </w:rPr>
            </w:pPr>
            <w:r w:rsidRPr="003A2C1D">
              <w:rPr>
                <w:rFonts w:cstheme="minorHAnsi"/>
                <w:sz w:val="18"/>
                <w:szCs w:val="18"/>
              </w:rPr>
              <w:t>122</w:t>
            </w:r>
          </w:p>
        </w:tc>
      </w:tr>
      <w:tr w:rsidR="004318BB" w14:paraId="13082E5B"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9687D6C"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Amazonas</w:t>
            </w:r>
          </w:p>
        </w:tc>
        <w:tc>
          <w:tcPr>
            <w:tcW w:w="629" w:type="pct"/>
            <w:tcBorders>
              <w:top w:val="single" w:sz="8" w:space="0" w:color="auto"/>
              <w:left w:val="single" w:sz="8" w:space="0" w:color="auto"/>
              <w:bottom w:val="single" w:sz="8" w:space="0" w:color="auto"/>
              <w:right w:val="single" w:sz="8" w:space="0" w:color="auto"/>
            </w:tcBorders>
            <w:vAlign w:val="bottom"/>
          </w:tcPr>
          <w:p w14:paraId="5AE8A2EA" w14:textId="5AB032B0"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95</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95CED17" w14:textId="2C91F778"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57</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D006292"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65</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2D2655D"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83</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551A5CD6" w14:textId="5EF86BFB"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76</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1C877109" w14:textId="52B08577" w:rsidR="004318BB" w:rsidRPr="003A2C1D" w:rsidRDefault="00F80AEF" w:rsidP="00C61E0E">
            <w:pPr>
              <w:spacing w:after="0"/>
              <w:jc w:val="right"/>
              <w:rPr>
                <w:rFonts w:cstheme="minorHAnsi"/>
                <w:sz w:val="18"/>
                <w:szCs w:val="18"/>
              </w:rPr>
            </w:pPr>
            <w:r w:rsidRPr="003A2C1D">
              <w:rPr>
                <w:rFonts w:cstheme="minorHAnsi"/>
                <w:sz w:val="18"/>
                <w:szCs w:val="18"/>
              </w:rPr>
              <w:t>376</w:t>
            </w:r>
          </w:p>
        </w:tc>
      </w:tr>
      <w:tr w:rsidR="004318BB" w14:paraId="01E2FCEE"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BE7027F"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Roraima</w:t>
            </w:r>
          </w:p>
        </w:tc>
        <w:tc>
          <w:tcPr>
            <w:tcW w:w="629" w:type="pct"/>
            <w:tcBorders>
              <w:top w:val="single" w:sz="8" w:space="0" w:color="auto"/>
              <w:left w:val="single" w:sz="8" w:space="0" w:color="auto"/>
              <w:bottom w:val="single" w:sz="8" w:space="0" w:color="auto"/>
              <w:right w:val="single" w:sz="8" w:space="0" w:color="auto"/>
            </w:tcBorders>
            <w:vAlign w:val="bottom"/>
          </w:tcPr>
          <w:p w14:paraId="12BBE263" w14:textId="3495728A"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8</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0DA1C17" w14:textId="43760129"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9</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A74871C"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7</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36FEE1A"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8</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42F9414A" w14:textId="475CF2BF"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14</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680E265F" w14:textId="70F7148C" w:rsidR="004318BB" w:rsidRPr="003A2C1D" w:rsidRDefault="00F80AEF" w:rsidP="00C61E0E">
            <w:pPr>
              <w:spacing w:after="0"/>
              <w:jc w:val="right"/>
              <w:rPr>
                <w:rFonts w:cstheme="minorHAnsi"/>
                <w:sz w:val="18"/>
                <w:szCs w:val="18"/>
              </w:rPr>
            </w:pPr>
            <w:r w:rsidRPr="003A2C1D">
              <w:rPr>
                <w:rFonts w:cstheme="minorHAnsi"/>
                <w:sz w:val="18"/>
                <w:szCs w:val="18"/>
              </w:rPr>
              <w:t>46</w:t>
            </w:r>
          </w:p>
        </w:tc>
      </w:tr>
      <w:tr w:rsidR="004318BB" w14:paraId="3BFC83D9"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C0DF7F2"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Pará</w:t>
            </w:r>
          </w:p>
        </w:tc>
        <w:tc>
          <w:tcPr>
            <w:tcW w:w="629" w:type="pct"/>
            <w:tcBorders>
              <w:top w:val="single" w:sz="8" w:space="0" w:color="auto"/>
              <w:left w:val="single" w:sz="8" w:space="0" w:color="auto"/>
              <w:bottom w:val="single" w:sz="8" w:space="0" w:color="auto"/>
              <w:right w:val="single" w:sz="8" w:space="0" w:color="auto"/>
            </w:tcBorders>
            <w:vAlign w:val="bottom"/>
          </w:tcPr>
          <w:p w14:paraId="359A4EBA" w14:textId="6457E17C"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115</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9F6DADE" w14:textId="5040512F"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134</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E375B81"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127</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CBE2A12"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183</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23B37669" w14:textId="265AF83C"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167</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3660D5F2" w14:textId="64698FFB" w:rsidR="004318BB" w:rsidRPr="003A2C1D" w:rsidRDefault="00F80AEF" w:rsidP="00C61E0E">
            <w:pPr>
              <w:spacing w:after="0"/>
              <w:jc w:val="right"/>
              <w:rPr>
                <w:rFonts w:cstheme="minorHAnsi"/>
                <w:sz w:val="18"/>
                <w:szCs w:val="18"/>
              </w:rPr>
            </w:pPr>
            <w:r w:rsidRPr="003A2C1D">
              <w:rPr>
                <w:rFonts w:cstheme="minorHAnsi"/>
                <w:sz w:val="18"/>
                <w:szCs w:val="18"/>
              </w:rPr>
              <w:t>726</w:t>
            </w:r>
          </w:p>
        </w:tc>
      </w:tr>
      <w:tr w:rsidR="004318BB" w14:paraId="6A6E1102"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15AFAFD"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Amapá</w:t>
            </w:r>
          </w:p>
        </w:tc>
        <w:tc>
          <w:tcPr>
            <w:tcW w:w="629" w:type="pct"/>
            <w:tcBorders>
              <w:top w:val="single" w:sz="8" w:space="0" w:color="auto"/>
              <w:left w:val="single" w:sz="8" w:space="0" w:color="auto"/>
              <w:bottom w:val="single" w:sz="8" w:space="0" w:color="auto"/>
              <w:right w:val="single" w:sz="8" w:space="0" w:color="auto"/>
            </w:tcBorders>
            <w:vAlign w:val="bottom"/>
          </w:tcPr>
          <w:p w14:paraId="791F30FB" w14:textId="1A724B95"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14</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A7ACB29" w14:textId="41CB77D3"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5</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3D0A65B"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15</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68ACF52"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10</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00932D34" w14:textId="0AF1E6B9"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6</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0640439A" w14:textId="058E4033" w:rsidR="004318BB" w:rsidRPr="003A2C1D" w:rsidRDefault="00F80AEF" w:rsidP="00C61E0E">
            <w:pPr>
              <w:spacing w:after="0"/>
              <w:jc w:val="right"/>
              <w:rPr>
                <w:rFonts w:cstheme="minorHAnsi"/>
                <w:sz w:val="18"/>
                <w:szCs w:val="18"/>
              </w:rPr>
            </w:pPr>
            <w:r w:rsidRPr="003A2C1D">
              <w:rPr>
                <w:rFonts w:cstheme="minorHAnsi"/>
                <w:sz w:val="18"/>
                <w:szCs w:val="18"/>
              </w:rPr>
              <w:t>50</w:t>
            </w:r>
          </w:p>
        </w:tc>
      </w:tr>
      <w:tr w:rsidR="004318BB" w14:paraId="16661708"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B8F5E0F"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Tocantins</w:t>
            </w:r>
          </w:p>
        </w:tc>
        <w:tc>
          <w:tcPr>
            <w:tcW w:w="629" w:type="pct"/>
            <w:tcBorders>
              <w:top w:val="single" w:sz="8" w:space="0" w:color="auto"/>
              <w:left w:val="single" w:sz="8" w:space="0" w:color="auto"/>
              <w:bottom w:val="single" w:sz="8" w:space="0" w:color="auto"/>
              <w:right w:val="single" w:sz="8" w:space="0" w:color="auto"/>
            </w:tcBorders>
            <w:vAlign w:val="bottom"/>
          </w:tcPr>
          <w:p w14:paraId="0DE6280F" w14:textId="2DCA5E6F"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31</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6C01F6A" w14:textId="04A34088"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37</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38201D2"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48</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D8CA6BD"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61</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1BDB7273" w14:textId="4296D1DE"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44</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57E56525" w14:textId="3792D50A" w:rsidR="004318BB" w:rsidRPr="003A2C1D" w:rsidRDefault="00F80AEF" w:rsidP="00C61E0E">
            <w:pPr>
              <w:spacing w:after="0"/>
              <w:jc w:val="right"/>
              <w:rPr>
                <w:rFonts w:cstheme="minorHAnsi"/>
                <w:sz w:val="18"/>
                <w:szCs w:val="18"/>
              </w:rPr>
            </w:pPr>
            <w:r w:rsidRPr="003A2C1D">
              <w:rPr>
                <w:rFonts w:cstheme="minorHAnsi"/>
                <w:sz w:val="18"/>
                <w:szCs w:val="18"/>
              </w:rPr>
              <w:t>221</w:t>
            </w:r>
          </w:p>
        </w:tc>
      </w:tr>
      <w:tr w:rsidR="004318BB" w14:paraId="4BCCFA8B"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58E5888"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Maranhão</w:t>
            </w:r>
          </w:p>
        </w:tc>
        <w:tc>
          <w:tcPr>
            <w:tcW w:w="629" w:type="pct"/>
            <w:tcBorders>
              <w:top w:val="single" w:sz="8" w:space="0" w:color="auto"/>
              <w:left w:val="single" w:sz="8" w:space="0" w:color="auto"/>
              <w:bottom w:val="single" w:sz="8" w:space="0" w:color="auto"/>
              <w:right w:val="single" w:sz="8" w:space="0" w:color="auto"/>
            </w:tcBorders>
            <w:vAlign w:val="bottom"/>
          </w:tcPr>
          <w:p w14:paraId="68A11B42" w14:textId="479590DB"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128</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5E70D08" w14:textId="4D03A15C"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150</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BEBE12B"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159</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32A12B9"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157</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50C00A00" w14:textId="24203CD3"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158</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101D36D3" w14:textId="21372A18" w:rsidR="004318BB" w:rsidRPr="003A2C1D" w:rsidRDefault="00F80AEF" w:rsidP="00C61E0E">
            <w:pPr>
              <w:spacing w:after="0"/>
              <w:jc w:val="right"/>
              <w:rPr>
                <w:rFonts w:cstheme="minorHAnsi"/>
                <w:sz w:val="18"/>
                <w:szCs w:val="18"/>
              </w:rPr>
            </w:pPr>
            <w:r w:rsidRPr="003A2C1D">
              <w:rPr>
                <w:rFonts w:cstheme="minorHAnsi"/>
                <w:sz w:val="18"/>
                <w:szCs w:val="18"/>
              </w:rPr>
              <w:t>752</w:t>
            </w:r>
          </w:p>
        </w:tc>
      </w:tr>
      <w:tr w:rsidR="004318BB" w14:paraId="6ADCF36C"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1B481B0"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Piauí</w:t>
            </w:r>
          </w:p>
        </w:tc>
        <w:tc>
          <w:tcPr>
            <w:tcW w:w="629" w:type="pct"/>
            <w:tcBorders>
              <w:top w:val="single" w:sz="8" w:space="0" w:color="auto"/>
              <w:left w:val="single" w:sz="8" w:space="0" w:color="auto"/>
              <w:bottom w:val="single" w:sz="8" w:space="0" w:color="auto"/>
              <w:right w:val="single" w:sz="8" w:space="0" w:color="auto"/>
            </w:tcBorders>
            <w:vAlign w:val="bottom"/>
          </w:tcPr>
          <w:p w14:paraId="13452364" w14:textId="4FE2F4CE"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34</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E6A406E" w14:textId="5B21BD05"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51</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D3690EE"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64</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162D38C" w14:textId="1FF667D8"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62</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0D38D089" w14:textId="7E346FAA"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66</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775AA0EF" w14:textId="04D08173" w:rsidR="004318BB" w:rsidRPr="003A2C1D" w:rsidRDefault="00F80AEF" w:rsidP="00C61E0E">
            <w:pPr>
              <w:spacing w:after="0"/>
              <w:jc w:val="right"/>
              <w:rPr>
                <w:rFonts w:cstheme="minorHAnsi"/>
                <w:sz w:val="18"/>
                <w:szCs w:val="18"/>
              </w:rPr>
            </w:pPr>
            <w:r w:rsidRPr="003A2C1D">
              <w:rPr>
                <w:rFonts w:cstheme="minorHAnsi"/>
                <w:sz w:val="18"/>
                <w:szCs w:val="18"/>
              </w:rPr>
              <w:t>277</w:t>
            </w:r>
          </w:p>
        </w:tc>
      </w:tr>
      <w:tr w:rsidR="004318BB" w14:paraId="1461BC95"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9736727"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Ceará</w:t>
            </w:r>
          </w:p>
        </w:tc>
        <w:tc>
          <w:tcPr>
            <w:tcW w:w="629" w:type="pct"/>
            <w:tcBorders>
              <w:top w:val="single" w:sz="8" w:space="0" w:color="auto"/>
              <w:left w:val="single" w:sz="8" w:space="0" w:color="auto"/>
              <w:bottom w:val="single" w:sz="8" w:space="0" w:color="auto"/>
              <w:right w:val="single" w:sz="8" w:space="0" w:color="auto"/>
            </w:tcBorders>
            <w:vAlign w:val="bottom"/>
          </w:tcPr>
          <w:p w14:paraId="7CE20D40" w14:textId="50D6551B"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284</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D63B8FC" w14:textId="5A9484E6"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252</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5BC8C50"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205</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D5FC110"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235</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512173FA" w14:textId="2B65078D"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255</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1D7E6126" w14:textId="35939A79" w:rsidR="004318BB" w:rsidRPr="003A2C1D" w:rsidRDefault="00F80AEF" w:rsidP="00C61E0E">
            <w:pPr>
              <w:spacing w:after="0"/>
              <w:jc w:val="right"/>
              <w:rPr>
                <w:rFonts w:cstheme="minorHAnsi"/>
                <w:sz w:val="18"/>
                <w:szCs w:val="18"/>
              </w:rPr>
            </w:pPr>
            <w:r w:rsidRPr="003A2C1D">
              <w:rPr>
                <w:rFonts w:cstheme="minorHAnsi"/>
                <w:sz w:val="18"/>
                <w:szCs w:val="18"/>
              </w:rPr>
              <w:t>1231</w:t>
            </w:r>
          </w:p>
        </w:tc>
      </w:tr>
      <w:tr w:rsidR="004318BB" w14:paraId="3D84CD52"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48C6870"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Rio Grande do Norte</w:t>
            </w:r>
          </w:p>
        </w:tc>
        <w:tc>
          <w:tcPr>
            <w:tcW w:w="629" w:type="pct"/>
            <w:tcBorders>
              <w:top w:val="single" w:sz="8" w:space="0" w:color="auto"/>
              <w:left w:val="single" w:sz="8" w:space="0" w:color="auto"/>
              <w:bottom w:val="single" w:sz="8" w:space="0" w:color="auto"/>
              <w:right w:val="single" w:sz="8" w:space="0" w:color="auto"/>
            </w:tcBorders>
            <w:vAlign w:val="bottom"/>
          </w:tcPr>
          <w:p w14:paraId="4E4CF859" w14:textId="498BD795"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68</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9D79E2E" w14:textId="268FD219"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60</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FDC0DFF"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56</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811CDD2"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63</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3065A9C1" w14:textId="601348EB"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60</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6E11D77D" w14:textId="5D6519A1" w:rsidR="004318BB" w:rsidRPr="003A2C1D" w:rsidRDefault="00F80AEF" w:rsidP="00C61E0E">
            <w:pPr>
              <w:spacing w:after="0"/>
              <w:jc w:val="right"/>
              <w:rPr>
                <w:rFonts w:cstheme="minorHAnsi"/>
                <w:sz w:val="18"/>
                <w:szCs w:val="18"/>
              </w:rPr>
            </w:pPr>
            <w:r w:rsidRPr="003A2C1D">
              <w:rPr>
                <w:rFonts w:cstheme="minorHAnsi"/>
                <w:sz w:val="18"/>
                <w:szCs w:val="18"/>
              </w:rPr>
              <w:t>307</w:t>
            </w:r>
          </w:p>
        </w:tc>
      </w:tr>
      <w:tr w:rsidR="004318BB" w14:paraId="7A59892D"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AC5A6D2"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Paraíba</w:t>
            </w:r>
          </w:p>
        </w:tc>
        <w:tc>
          <w:tcPr>
            <w:tcW w:w="629" w:type="pct"/>
            <w:tcBorders>
              <w:top w:val="single" w:sz="8" w:space="0" w:color="auto"/>
              <w:left w:val="single" w:sz="8" w:space="0" w:color="auto"/>
              <w:bottom w:val="single" w:sz="8" w:space="0" w:color="auto"/>
              <w:right w:val="single" w:sz="8" w:space="0" w:color="auto"/>
            </w:tcBorders>
            <w:vAlign w:val="bottom"/>
          </w:tcPr>
          <w:p w14:paraId="15CEF562" w14:textId="14DA42C0"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79</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626A56A" w14:textId="5C9DD8F4"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58</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3A4AE65"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69</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FC33F32"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98</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6DF9AF1E" w14:textId="649AAEA7"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129</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505C2739" w14:textId="4407BF21" w:rsidR="004318BB" w:rsidRPr="003A2C1D" w:rsidRDefault="00F80AEF" w:rsidP="00C61E0E">
            <w:pPr>
              <w:spacing w:after="0"/>
              <w:jc w:val="right"/>
              <w:rPr>
                <w:rFonts w:cstheme="minorHAnsi"/>
                <w:sz w:val="18"/>
                <w:szCs w:val="18"/>
              </w:rPr>
            </w:pPr>
            <w:r w:rsidRPr="003A2C1D">
              <w:rPr>
                <w:rFonts w:cstheme="minorHAnsi"/>
                <w:sz w:val="18"/>
                <w:szCs w:val="18"/>
              </w:rPr>
              <w:t>433</w:t>
            </w:r>
          </w:p>
        </w:tc>
      </w:tr>
      <w:tr w:rsidR="004318BB" w14:paraId="030D6A61"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7F06A86"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Pernambuco</w:t>
            </w:r>
          </w:p>
        </w:tc>
        <w:tc>
          <w:tcPr>
            <w:tcW w:w="629" w:type="pct"/>
            <w:tcBorders>
              <w:top w:val="single" w:sz="8" w:space="0" w:color="auto"/>
              <w:left w:val="single" w:sz="8" w:space="0" w:color="auto"/>
              <w:bottom w:val="single" w:sz="8" w:space="0" w:color="auto"/>
              <w:right w:val="single" w:sz="8" w:space="0" w:color="auto"/>
            </w:tcBorders>
            <w:vAlign w:val="bottom"/>
          </w:tcPr>
          <w:p w14:paraId="44FD0A63" w14:textId="143F8E81"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144</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A22A7F8" w14:textId="65325381"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109</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E92BB86"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135</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E30C2D7"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154</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3B469A8B" w14:textId="48DE07CA"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172</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2FAFB708" w14:textId="03529587" w:rsidR="004318BB" w:rsidRPr="003A2C1D" w:rsidRDefault="00F80AEF" w:rsidP="00C61E0E">
            <w:pPr>
              <w:spacing w:after="0"/>
              <w:jc w:val="right"/>
              <w:rPr>
                <w:rFonts w:cstheme="minorHAnsi"/>
                <w:sz w:val="18"/>
                <w:szCs w:val="18"/>
              </w:rPr>
            </w:pPr>
            <w:r w:rsidRPr="003A2C1D">
              <w:rPr>
                <w:rFonts w:cstheme="minorHAnsi"/>
                <w:sz w:val="18"/>
                <w:szCs w:val="18"/>
              </w:rPr>
              <w:t>714</w:t>
            </w:r>
          </w:p>
        </w:tc>
      </w:tr>
      <w:tr w:rsidR="004318BB" w14:paraId="4051BD80"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4B6AEC1"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Alagoas</w:t>
            </w:r>
          </w:p>
        </w:tc>
        <w:tc>
          <w:tcPr>
            <w:tcW w:w="629" w:type="pct"/>
            <w:tcBorders>
              <w:top w:val="single" w:sz="8" w:space="0" w:color="auto"/>
              <w:left w:val="single" w:sz="8" w:space="0" w:color="auto"/>
              <w:bottom w:val="single" w:sz="8" w:space="0" w:color="auto"/>
              <w:right w:val="single" w:sz="8" w:space="0" w:color="auto"/>
            </w:tcBorders>
            <w:vAlign w:val="bottom"/>
          </w:tcPr>
          <w:p w14:paraId="394518E7" w14:textId="654A9AAA"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62</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11061D9" w14:textId="446C48F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60</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C86AA49"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60</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53F6DF0" w14:textId="6A0CF628"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67</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168B8FB3" w14:textId="394B703A"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69</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2D696B9A" w14:textId="2C096F6C" w:rsidR="004318BB" w:rsidRPr="003A2C1D" w:rsidRDefault="00F80AEF" w:rsidP="00C61E0E">
            <w:pPr>
              <w:spacing w:after="0"/>
              <w:jc w:val="right"/>
              <w:rPr>
                <w:rFonts w:cstheme="minorHAnsi"/>
                <w:sz w:val="18"/>
                <w:szCs w:val="18"/>
              </w:rPr>
            </w:pPr>
            <w:r w:rsidRPr="003A2C1D">
              <w:rPr>
                <w:rFonts w:cstheme="minorHAnsi"/>
                <w:sz w:val="18"/>
                <w:szCs w:val="18"/>
              </w:rPr>
              <w:t>318</w:t>
            </w:r>
          </w:p>
        </w:tc>
      </w:tr>
      <w:tr w:rsidR="004318BB" w14:paraId="23DA3495"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ADFA714"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Sergipe</w:t>
            </w:r>
          </w:p>
        </w:tc>
        <w:tc>
          <w:tcPr>
            <w:tcW w:w="629" w:type="pct"/>
            <w:tcBorders>
              <w:top w:val="single" w:sz="8" w:space="0" w:color="auto"/>
              <w:left w:val="single" w:sz="8" w:space="0" w:color="auto"/>
              <w:bottom w:val="single" w:sz="8" w:space="0" w:color="auto"/>
              <w:right w:val="single" w:sz="8" w:space="0" w:color="auto"/>
            </w:tcBorders>
            <w:vAlign w:val="bottom"/>
          </w:tcPr>
          <w:p w14:paraId="27AD2FDE" w14:textId="7A1C679C"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39</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49E5A2A" w14:textId="25972EB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39</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9F5BE86"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56</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39AD62D"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45</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27BCB39E" w14:textId="42B383B2"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53</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6617385D" w14:textId="30E2C61E" w:rsidR="004318BB" w:rsidRPr="003A2C1D" w:rsidRDefault="00F80AEF" w:rsidP="00C61E0E">
            <w:pPr>
              <w:spacing w:after="0"/>
              <w:jc w:val="right"/>
              <w:rPr>
                <w:rFonts w:cstheme="minorHAnsi"/>
                <w:sz w:val="18"/>
                <w:szCs w:val="18"/>
              </w:rPr>
            </w:pPr>
            <w:r w:rsidRPr="003A2C1D">
              <w:rPr>
                <w:rFonts w:cstheme="minorHAnsi"/>
                <w:sz w:val="18"/>
                <w:szCs w:val="18"/>
              </w:rPr>
              <w:t>232</w:t>
            </w:r>
          </w:p>
        </w:tc>
      </w:tr>
      <w:tr w:rsidR="004318BB" w14:paraId="39B33514"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5200815"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Bahia</w:t>
            </w:r>
          </w:p>
        </w:tc>
        <w:tc>
          <w:tcPr>
            <w:tcW w:w="629" w:type="pct"/>
            <w:tcBorders>
              <w:top w:val="single" w:sz="8" w:space="0" w:color="auto"/>
              <w:left w:val="single" w:sz="8" w:space="0" w:color="auto"/>
              <w:bottom w:val="single" w:sz="8" w:space="0" w:color="auto"/>
              <w:right w:val="single" w:sz="8" w:space="0" w:color="auto"/>
            </w:tcBorders>
            <w:vAlign w:val="bottom"/>
          </w:tcPr>
          <w:p w14:paraId="4125333E" w14:textId="2EBFD58B"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305</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D002706" w14:textId="4AC847C3"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285</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9E5FAAE"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281</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6CEB576" w14:textId="3288DCA3"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331</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3CB33FE1" w14:textId="4C1BA760"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318</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031437F4" w14:textId="3731F83E" w:rsidR="004318BB" w:rsidRPr="003A2C1D" w:rsidRDefault="00525E05" w:rsidP="00C61E0E">
            <w:pPr>
              <w:spacing w:after="0"/>
              <w:jc w:val="right"/>
              <w:rPr>
                <w:rFonts w:cstheme="minorHAnsi"/>
                <w:sz w:val="18"/>
                <w:szCs w:val="18"/>
              </w:rPr>
            </w:pPr>
            <w:r w:rsidRPr="003A2C1D">
              <w:rPr>
                <w:rFonts w:cstheme="minorHAnsi"/>
                <w:sz w:val="18"/>
                <w:szCs w:val="18"/>
              </w:rPr>
              <w:t>1520</w:t>
            </w:r>
          </w:p>
        </w:tc>
      </w:tr>
      <w:tr w:rsidR="004318BB" w14:paraId="4ED8A5BA"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B0804E7"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Minas Gerais</w:t>
            </w:r>
          </w:p>
        </w:tc>
        <w:tc>
          <w:tcPr>
            <w:tcW w:w="629" w:type="pct"/>
            <w:tcBorders>
              <w:top w:val="single" w:sz="8" w:space="0" w:color="auto"/>
              <w:left w:val="single" w:sz="8" w:space="0" w:color="auto"/>
              <w:bottom w:val="single" w:sz="8" w:space="0" w:color="auto"/>
              <w:right w:val="single" w:sz="8" w:space="0" w:color="auto"/>
            </w:tcBorders>
            <w:vAlign w:val="bottom"/>
          </w:tcPr>
          <w:p w14:paraId="08B053F6" w14:textId="106FF15E"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524</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7376450" w14:textId="46912236"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443</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3102940"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419</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E0B746E" w14:textId="63367E66"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505</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0A854F16" w14:textId="65492B7E"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539</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187EADA7" w14:textId="1B78D1D5" w:rsidR="004318BB" w:rsidRPr="003A2C1D" w:rsidRDefault="00525E05" w:rsidP="00C61E0E">
            <w:pPr>
              <w:spacing w:after="0"/>
              <w:jc w:val="right"/>
              <w:rPr>
                <w:rFonts w:cstheme="minorHAnsi"/>
                <w:sz w:val="18"/>
                <w:szCs w:val="18"/>
              </w:rPr>
            </w:pPr>
            <w:r w:rsidRPr="003A2C1D">
              <w:rPr>
                <w:rFonts w:cstheme="minorHAnsi"/>
                <w:sz w:val="18"/>
                <w:szCs w:val="18"/>
              </w:rPr>
              <w:t>2430</w:t>
            </w:r>
          </w:p>
        </w:tc>
      </w:tr>
      <w:tr w:rsidR="004318BB" w14:paraId="5DD1EF2F"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85AA40A"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Espírito Santo</w:t>
            </w:r>
          </w:p>
        </w:tc>
        <w:tc>
          <w:tcPr>
            <w:tcW w:w="629" w:type="pct"/>
            <w:tcBorders>
              <w:top w:val="single" w:sz="8" w:space="0" w:color="auto"/>
              <w:left w:val="single" w:sz="8" w:space="0" w:color="auto"/>
              <w:bottom w:val="single" w:sz="8" w:space="0" w:color="auto"/>
              <w:right w:val="single" w:sz="8" w:space="0" w:color="auto"/>
            </w:tcBorders>
            <w:vAlign w:val="bottom"/>
          </w:tcPr>
          <w:p w14:paraId="3EDA86E9" w14:textId="318B5BA5"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72</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8C9B59C" w14:textId="18AD2760"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54</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D48F66A"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58</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3222B0E"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68</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1D7FF7FC" w14:textId="5133AA6E"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71</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00DA9D51" w14:textId="26505F80" w:rsidR="004318BB" w:rsidRPr="003A2C1D" w:rsidRDefault="00525E05" w:rsidP="00C61E0E">
            <w:pPr>
              <w:spacing w:after="0"/>
              <w:jc w:val="right"/>
              <w:rPr>
                <w:rFonts w:cstheme="minorHAnsi"/>
                <w:sz w:val="18"/>
                <w:szCs w:val="18"/>
              </w:rPr>
            </w:pPr>
            <w:r w:rsidRPr="003A2C1D">
              <w:rPr>
                <w:rFonts w:cstheme="minorHAnsi"/>
                <w:sz w:val="18"/>
                <w:szCs w:val="18"/>
              </w:rPr>
              <w:t>323</w:t>
            </w:r>
          </w:p>
        </w:tc>
      </w:tr>
      <w:tr w:rsidR="004318BB" w14:paraId="585E7D39"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9D1D835"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Rio de Janeiro</w:t>
            </w:r>
          </w:p>
        </w:tc>
        <w:tc>
          <w:tcPr>
            <w:tcW w:w="629" w:type="pct"/>
            <w:tcBorders>
              <w:top w:val="single" w:sz="8" w:space="0" w:color="auto"/>
              <w:left w:val="single" w:sz="8" w:space="0" w:color="auto"/>
              <w:bottom w:val="single" w:sz="8" w:space="0" w:color="auto"/>
              <w:right w:val="single" w:sz="8" w:space="0" w:color="auto"/>
            </w:tcBorders>
            <w:vAlign w:val="bottom"/>
          </w:tcPr>
          <w:p w14:paraId="19A2A292" w14:textId="4A47A122"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404</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41FC8B1" w14:textId="6A4D823A"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362</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262F3D5"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368</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93121CC" w14:textId="2C637F16"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338</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3888F6C5" w14:textId="1C6B9244"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385</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4CEA6CD8" w14:textId="4B84D8E0" w:rsidR="004318BB" w:rsidRPr="003A2C1D" w:rsidRDefault="00525E05" w:rsidP="00C61E0E">
            <w:pPr>
              <w:spacing w:after="0"/>
              <w:jc w:val="right"/>
              <w:rPr>
                <w:rFonts w:cstheme="minorHAnsi"/>
                <w:sz w:val="18"/>
                <w:szCs w:val="18"/>
              </w:rPr>
            </w:pPr>
            <w:r w:rsidRPr="003A2C1D">
              <w:rPr>
                <w:rFonts w:cstheme="minorHAnsi"/>
                <w:sz w:val="18"/>
                <w:szCs w:val="18"/>
              </w:rPr>
              <w:t>1857</w:t>
            </w:r>
          </w:p>
        </w:tc>
      </w:tr>
      <w:tr w:rsidR="004318BB" w14:paraId="4EED2E63"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BF6DCFB"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São Paulo</w:t>
            </w:r>
          </w:p>
        </w:tc>
        <w:tc>
          <w:tcPr>
            <w:tcW w:w="629" w:type="pct"/>
            <w:tcBorders>
              <w:top w:val="single" w:sz="8" w:space="0" w:color="auto"/>
              <w:left w:val="single" w:sz="8" w:space="0" w:color="auto"/>
              <w:bottom w:val="single" w:sz="8" w:space="0" w:color="auto"/>
              <w:right w:val="single" w:sz="8" w:space="0" w:color="auto"/>
            </w:tcBorders>
            <w:vAlign w:val="bottom"/>
          </w:tcPr>
          <w:p w14:paraId="2A2AF595" w14:textId="38FD672D"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1345</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4798145" w14:textId="0F261692"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1118</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461291A"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1158</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E72C028"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1209</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50AF1C3C" w14:textId="4B7D5AAF"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1302</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2342A629" w14:textId="759E799F" w:rsidR="004318BB" w:rsidRPr="003A2C1D" w:rsidRDefault="00525E05" w:rsidP="00C61E0E">
            <w:pPr>
              <w:spacing w:after="0"/>
              <w:jc w:val="right"/>
              <w:rPr>
                <w:rFonts w:cstheme="minorHAnsi"/>
                <w:sz w:val="18"/>
                <w:szCs w:val="18"/>
              </w:rPr>
            </w:pPr>
            <w:r w:rsidRPr="003A2C1D">
              <w:rPr>
                <w:rFonts w:eastAsia="Calibri" w:cstheme="minorHAnsi"/>
                <w:color w:val="000000" w:themeColor="text1"/>
                <w:sz w:val="18"/>
                <w:szCs w:val="18"/>
              </w:rPr>
              <w:t>6132</w:t>
            </w:r>
          </w:p>
        </w:tc>
      </w:tr>
      <w:tr w:rsidR="004318BB" w14:paraId="4B953B2C"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C196E58"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Paraná</w:t>
            </w:r>
          </w:p>
        </w:tc>
        <w:tc>
          <w:tcPr>
            <w:tcW w:w="629" w:type="pct"/>
            <w:tcBorders>
              <w:top w:val="single" w:sz="8" w:space="0" w:color="auto"/>
              <w:left w:val="single" w:sz="8" w:space="0" w:color="auto"/>
              <w:bottom w:val="single" w:sz="8" w:space="0" w:color="auto"/>
              <w:right w:val="single" w:sz="8" w:space="0" w:color="auto"/>
            </w:tcBorders>
            <w:vAlign w:val="bottom"/>
          </w:tcPr>
          <w:p w14:paraId="332A57C6" w14:textId="6C6BEA4F"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384</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BFBB927" w14:textId="0BFA224D"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394</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2FADFD1"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389</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D6915D1"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442</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629AE9D6" w14:textId="4E16E1B9"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404</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1376B1F2" w14:textId="6256BA36" w:rsidR="004318BB" w:rsidRPr="003A2C1D" w:rsidRDefault="00525E05" w:rsidP="00C61E0E">
            <w:pPr>
              <w:spacing w:after="0"/>
              <w:jc w:val="right"/>
              <w:rPr>
                <w:rFonts w:cstheme="minorHAnsi"/>
                <w:sz w:val="18"/>
                <w:szCs w:val="18"/>
              </w:rPr>
            </w:pPr>
            <w:r w:rsidRPr="003A2C1D">
              <w:rPr>
                <w:rFonts w:eastAsia="Calibri" w:cstheme="minorHAnsi"/>
                <w:color w:val="000000" w:themeColor="text1"/>
                <w:sz w:val="18"/>
                <w:szCs w:val="18"/>
              </w:rPr>
              <w:t>2013</w:t>
            </w:r>
          </w:p>
        </w:tc>
      </w:tr>
      <w:tr w:rsidR="004318BB" w14:paraId="42C19011"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70BF1E8"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Santa Catarina</w:t>
            </w:r>
          </w:p>
        </w:tc>
        <w:tc>
          <w:tcPr>
            <w:tcW w:w="629" w:type="pct"/>
            <w:tcBorders>
              <w:top w:val="single" w:sz="8" w:space="0" w:color="auto"/>
              <w:left w:val="single" w:sz="8" w:space="0" w:color="auto"/>
              <w:bottom w:val="single" w:sz="8" w:space="0" w:color="auto"/>
              <w:right w:val="single" w:sz="8" w:space="0" w:color="auto"/>
            </w:tcBorders>
            <w:vAlign w:val="bottom"/>
          </w:tcPr>
          <w:p w14:paraId="50023954" w14:textId="0308C50D"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257</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647289C" w14:textId="74585776"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212</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2EDE5F3"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227</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B9B9018"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223</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53C608FB" w14:textId="174DC7CA"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294</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69F3A303" w14:textId="332CB3B4" w:rsidR="004318BB" w:rsidRPr="003A2C1D" w:rsidRDefault="00525E05" w:rsidP="00C61E0E">
            <w:pPr>
              <w:spacing w:after="0"/>
              <w:jc w:val="right"/>
              <w:rPr>
                <w:rFonts w:cstheme="minorHAnsi"/>
                <w:sz w:val="18"/>
                <w:szCs w:val="18"/>
              </w:rPr>
            </w:pPr>
            <w:r w:rsidRPr="003A2C1D">
              <w:rPr>
                <w:rFonts w:eastAsia="Calibri" w:cstheme="minorHAnsi"/>
                <w:color w:val="000000" w:themeColor="text1"/>
                <w:sz w:val="18"/>
                <w:szCs w:val="18"/>
              </w:rPr>
              <w:t>1213</w:t>
            </w:r>
          </w:p>
        </w:tc>
      </w:tr>
      <w:tr w:rsidR="004318BB" w14:paraId="27103F9F"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6C0BE2F"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Rio Grande do Sul</w:t>
            </w:r>
          </w:p>
        </w:tc>
        <w:tc>
          <w:tcPr>
            <w:tcW w:w="629" w:type="pct"/>
            <w:tcBorders>
              <w:top w:val="single" w:sz="8" w:space="0" w:color="auto"/>
              <w:left w:val="single" w:sz="8" w:space="0" w:color="auto"/>
              <w:bottom w:val="single" w:sz="8" w:space="0" w:color="auto"/>
              <w:right w:val="single" w:sz="8" w:space="0" w:color="auto"/>
            </w:tcBorders>
            <w:vAlign w:val="bottom"/>
          </w:tcPr>
          <w:p w14:paraId="4286DA4B" w14:textId="027C2A04"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405</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E7B8019" w14:textId="3C31C9F5"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367</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2EE0FED"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327</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1E5F6ED"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428</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039F2325" w14:textId="2739F17C"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449</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5E3EB771" w14:textId="440A8B68"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1</w:t>
            </w:r>
            <w:r w:rsidR="00525E05" w:rsidRPr="003A2C1D">
              <w:rPr>
                <w:rFonts w:eastAsia="Calibri" w:cstheme="minorHAnsi"/>
                <w:color w:val="000000" w:themeColor="text1"/>
                <w:sz w:val="18"/>
                <w:szCs w:val="18"/>
              </w:rPr>
              <w:t>976</w:t>
            </w:r>
          </w:p>
        </w:tc>
      </w:tr>
      <w:tr w:rsidR="004318BB" w14:paraId="52BB9A7E"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5657ADF"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Mato Grosso do Sul</w:t>
            </w:r>
          </w:p>
        </w:tc>
        <w:tc>
          <w:tcPr>
            <w:tcW w:w="629" w:type="pct"/>
            <w:tcBorders>
              <w:top w:val="single" w:sz="8" w:space="0" w:color="auto"/>
              <w:left w:val="single" w:sz="8" w:space="0" w:color="auto"/>
              <w:bottom w:val="single" w:sz="8" w:space="0" w:color="auto"/>
              <w:right w:val="single" w:sz="8" w:space="0" w:color="auto"/>
            </w:tcBorders>
            <w:vAlign w:val="bottom"/>
          </w:tcPr>
          <w:p w14:paraId="4FE904DD" w14:textId="706487F6"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57</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776D37F" w14:textId="61786176"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60</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49C83CE"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51</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379596A"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64</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6EA081A6" w14:textId="00287E5C"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55</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416820B5" w14:textId="07FDD42C"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2</w:t>
            </w:r>
            <w:r w:rsidR="00964982" w:rsidRPr="003A2C1D">
              <w:rPr>
                <w:rFonts w:eastAsia="Calibri" w:cstheme="minorHAnsi"/>
                <w:color w:val="000000" w:themeColor="text1"/>
                <w:sz w:val="18"/>
                <w:szCs w:val="18"/>
              </w:rPr>
              <w:t>87</w:t>
            </w:r>
          </w:p>
        </w:tc>
      </w:tr>
      <w:tr w:rsidR="004318BB" w14:paraId="2B360678"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222AC58"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Mato Grosso</w:t>
            </w:r>
          </w:p>
        </w:tc>
        <w:tc>
          <w:tcPr>
            <w:tcW w:w="629" w:type="pct"/>
            <w:tcBorders>
              <w:top w:val="single" w:sz="8" w:space="0" w:color="auto"/>
              <w:left w:val="single" w:sz="8" w:space="0" w:color="auto"/>
              <w:bottom w:val="single" w:sz="8" w:space="0" w:color="auto"/>
              <w:right w:val="single" w:sz="8" w:space="0" w:color="auto"/>
            </w:tcBorders>
            <w:vAlign w:val="bottom"/>
          </w:tcPr>
          <w:p w14:paraId="03F6FB20" w14:textId="5BC0D528"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44</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3B1BE01" w14:textId="16E3B81F"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64</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4D30B37"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108</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F6205E3" w14:textId="5C649B96"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82</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74262315" w14:textId="68AB475D"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99</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0E88A531" w14:textId="6122F938" w:rsidR="004318BB" w:rsidRPr="003A2C1D" w:rsidRDefault="00964982" w:rsidP="00C61E0E">
            <w:pPr>
              <w:spacing w:after="0"/>
              <w:jc w:val="right"/>
              <w:rPr>
                <w:rFonts w:cstheme="minorHAnsi"/>
                <w:sz w:val="18"/>
                <w:szCs w:val="18"/>
              </w:rPr>
            </w:pPr>
            <w:r w:rsidRPr="003A2C1D">
              <w:rPr>
                <w:rFonts w:eastAsia="Calibri" w:cstheme="minorHAnsi"/>
                <w:color w:val="000000" w:themeColor="text1"/>
                <w:sz w:val="18"/>
                <w:szCs w:val="18"/>
              </w:rPr>
              <w:t>397</w:t>
            </w:r>
          </w:p>
        </w:tc>
      </w:tr>
      <w:tr w:rsidR="004318BB" w14:paraId="71116596"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2A2EFE0"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Goiás</w:t>
            </w:r>
          </w:p>
        </w:tc>
        <w:tc>
          <w:tcPr>
            <w:tcW w:w="629" w:type="pct"/>
            <w:tcBorders>
              <w:top w:val="single" w:sz="8" w:space="0" w:color="auto"/>
              <w:left w:val="single" w:sz="8" w:space="0" w:color="auto"/>
              <w:bottom w:val="single" w:sz="8" w:space="0" w:color="auto"/>
              <w:right w:val="single" w:sz="8" w:space="0" w:color="auto"/>
            </w:tcBorders>
            <w:vAlign w:val="bottom"/>
          </w:tcPr>
          <w:p w14:paraId="4D9177BB" w14:textId="0FBE4E5A"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64</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E623C90" w14:textId="056B0BF6"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68</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9BA3FD8"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72</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9303202"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80</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1DAC2A53" w14:textId="0D361AC7"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91</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48FB7056" w14:textId="70E1BB0F" w:rsidR="004318BB" w:rsidRPr="003A2C1D" w:rsidRDefault="00964982" w:rsidP="00C61E0E">
            <w:pPr>
              <w:spacing w:after="0"/>
              <w:jc w:val="right"/>
              <w:rPr>
                <w:rFonts w:cstheme="minorHAnsi"/>
                <w:sz w:val="18"/>
                <w:szCs w:val="18"/>
              </w:rPr>
            </w:pPr>
            <w:r w:rsidRPr="003A2C1D">
              <w:rPr>
                <w:rFonts w:cstheme="minorHAnsi"/>
                <w:sz w:val="18"/>
                <w:szCs w:val="18"/>
              </w:rPr>
              <w:t>375</w:t>
            </w:r>
          </w:p>
        </w:tc>
      </w:tr>
      <w:tr w:rsidR="004318BB" w14:paraId="273494A2"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3731D3C" w14:textId="77777777" w:rsidR="004318BB" w:rsidRPr="003A2C1D" w:rsidRDefault="004318BB" w:rsidP="00C61E0E">
            <w:pPr>
              <w:spacing w:after="0"/>
              <w:rPr>
                <w:rFonts w:cstheme="minorHAnsi"/>
                <w:sz w:val="18"/>
                <w:szCs w:val="18"/>
              </w:rPr>
            </w:pPr>
            <w:r w:rsidRPr="003A2C1D">
              <w:rPr>
                <w:rFonts w:eastAsia="Calibri" w:cstheme="minorHAnsi"/>
                <w:color w:val="000000" w:themeColor="text1"/>
                <w:sz w:val="18"/>
                <w:szCs w:val="18"/>
              </w:rPr>
              <w:t>Distrito Federal</w:t>
            </w:r>
          </w:p>
        </w:tc>
        <w:tc>
          <w:tcPr>
            <w:tcW w:w="629" w:type="pct"/>
            <w:tcBorders>
              <w:top w:val="single" w:sz="8" w:space="0" w:color="auto"/>
              <w:left w:val="single" w:sz="8" w:space="0" w:color="auto"/>
              <w:bottom w:val="single" w:sz="8" w:space="0" w:color="auto"/>
              <w:right w:val="single" w:sz="8" w:space="0" w:color="auto"/>
            </w:tcBorders>
            <w:vAlign w:val="bottom"/>
          </w:tcPr>
          <w:p w14:paraId="0CE84E9D" w14:textId="12D09EFA"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60</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342307A" w14:textId="4F20E903"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105</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D4A82B9"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124</w:t>
            </w:r>
          </w:p>
        </w:tc>
        <w:tc>
          <w:tcPr>
            <w:tcW w:w="629"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E85DB36" w14:textId="77777777" w:rsidR="004318BB" w:rsidRPr="003A2C1D" w:rsidRDefault="004318BB" w:rsidP="00C61E0E">
            <w:pPr>
              <w:spacing w:after="0"/>
              <w:jc w:val="right"/>
              <w:rPr>
                <w:rFonts w:cstheme="minorHAnsi"/>
                <w:sz w:val="18"/>
                <w:szCs w:val="18"/>
              </w:rPr>
            </w:pPr>
            <w:r w:rsidRPr="003A2C1D">
              <w:rPr>
                <w:rFonts w:eastAsia="Calibri" w:cstheme="minorHAnsi"/>
                <w:color w:val="000000" w:themeColor="text1"/>
                <w:sz w:val="18"/>
                <w:szCs w:val="18"/>
              </w:rPr>
              <w:t>113</w:t>
            </w:r>
          </w:p>
        </w:tc>
        <w:tc>
          <w:tcPr>
            <w:tcW w:w="629" w:type="pct"/>
            <w:tcBorders>
              <w:top w:val="single" w:sz="8" w:space="0" w:color="auto"/>
              <w:left w:val="single" w:sz="8" w:space="0" w:color="auto"/>
              <w:bottom w:val="single" w:sz="8" w:space="0" w:color="auto"/>
              <w:right w:val="single" w:sz="8" w:space="0" w:color="auto"/>
            </w:tcBorders>
            <w:shd w:val="clear" w:color="auto" w:fill="auto"/>
          </w:tcPr>
          <w:p w14:paraId="6F5F9352" w14:textId="1A9FF2C3" w:rsidR="004318BB" w:rsidRPr="003A2C1D" w:rsidRDefault="004318BB" w:rsidP="00C61E0E">
            <w:pPr>
              <w:spacing w:after="0"/>
              <w:jc w:val="right"/>
              <w:rPr>
                <w:rFonts w:eastAsia="Calibri" w:cstheme="minorHAnsi"/>
                <w:color w:val="000000" w:themeColor="text1"/>
                <w:sz w:val="18"/>
                <w:szCs w:val="18"/>
              </w:rPr>
            </w:pPr>
            <w:r w:rsidRPr="003A2C1D">
              <w:rPr>
                <w:rFonts w:eastAsia="Calibri" w:cstheme="minorHAnsi"/>
                <w:color w:val="000000" w:themeColor="text1"/>
                <w:sz w:val="18"/>
                <w:szCs w:val="18"/>
              </w:rPr>
              <w:t>105</w:t>
            </w:r>
          </w:p>
        </w:tc>
        <w:tc>
          <w:tcPr>
            <w:tcW w:w="629" w:type="pct"/>
            <w:tcBorders>
              <w:top w:val="single" w:sz="8" w:space="0" w:color="auto"/>
              <w:left w:val="single" w:sz="8" w:space="0" w:color="auto"/>
              <w:bottom w:val="single" w:sz="8" w:space="0" w:color="auto"/>
              <w:right w:val="single" w:sz="8" w:space="0" w:color="auto"/>
            </w:tcBorders>
            <w:shd w:val="clear" w:color="auto" w:fill="auto"/>
            <w:tcMar>
              <w:left w:w="70" w:type="dxa"/>
              <w:right w:w="70" w:type="dxa"/>
            </w:tcMar>
            <w:vAlign w:val="bottom"/>
          </w:tcPr>
          <w:p w14:paraId="40375E97" w14:textId="2576B88B" w:rsidR="004318BB" w:rsidRPr="003A2C1D" w:rsidRDefault="00F96F65" w:rsidP="00C61E0E">
            <w:pPr>
              <w:spacing w:after="0"/>
              <w:jc w:val="right"/>
              <w:rPr>
                <w:rFonts w:cstheme="minorHAnsi"/>
                <w:sz w:val="18"/>
                <w:szCs w:val="18"/>
              </w:rPr>
            </w:pPr>
            <w:r w:rsidRPr="003A2C1D">
              <w:rPr>
                <w:rFonts w:eastAsia="Calibri" w:cstheme="minorHAnsi"/>
                <w:color w:val="000000" w:themeColor="text1"/>
                <w:sz w:val="18"/>
                <w:szCs w:val="18"/>
              </w:rPr>
              <w:t>507</w:t>
            </w:r>
          </w:p>
        </w:tc>
      </w:tr>
      <w:tr w:rsidR="004318BB" w14:paraId="668F437B" w14:textId="77777777" w:rsidTr="0082667A">
        <w:trPr>
          <w:trHeight w:val="285"/>
        </w:trPr>
        <w:tc>
          <w:tcPr>
            <w:tcW w:w="1228" w:type="pct"/>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70" w:type="dxa"/>
              <w:right w:w="70" w:type="dxa"/>
            </w:tcMar>
            <w:vAlign w:val="bottom"/>
          </w:tcPr>
          <w:p w14:paraId="2736D329" w14:textId="77777777" w:rsidR="004318BB" w:rsidRPr="003A2C1D" w:rsidRDefault="004318BB" w:rsidP="00C61E0E">
            <w:pPr>
              <w:spacing w:after="0"/>
              <w:rPr>
                <w:rFonts w:cstheme="minorHAnsi"/>
                <w:sz w:val="18"/>
                <w:szCs w:val="18"/>
              </w:rPr>
            </w:pPr>
            <w:r w:rsidRPr="003A2C1D">
              <w:rPr>
                <w:rFonts w:eastAsia="Calibri" w:cstheme="minorHAnsi"/>
                <w:b/>
                <w:bCs/>
                <w:color w:val="000000" w:themeColor="text1"/>
                <w:sz w:val="18"/>
                <w:szCs w:val="18"/>
              </w:rPr>
              <w:t>Total</w:t>
            </w:r>
          </w:p>
        </w:tc>
        <w:tc>
          <w:tcPr>
            <w:tcW w:w="629" w:type="pct"/>
            <w:tcBorders>
              <w:top w:val="single" w:sz="8" w:space="0" w:color="auto"/>
              <w:left w:val="single" w:sz="8" w:space="0" w:color="auto"/>
              <w:bottom w:val="single" w:sz="8" w:space="0" w:color="auto"/>
              <w:right w:val="single" w:sz="8" w:space="0" w:color="auto"/>
            </w:tcBorders>
            <w:shd w:val="clear" w:color="auto" w:fill="AEAAAA" w:themeFill="background2" w:themeFillShade="BF"/>
            <w:vAlign w:val="bottom"/>
          </w:tcPr>
          <w:p w14:paraId="698AA7CC" w14:textId="686F8CD9" w:rsidR="004318BB" w:rsidRPr="003A2C1D" w:rsidRDefault="004318BB" w:rsidP="00C61E0E">
            <w:pPr>
              <w:spacing w:after="0"/>
              <w:jc w:val="right"/>
              <w:rPr>
                <w:rFonts w:eastAsia="Calibri" w:cstheme="minorHAnsi"/>
                <w:b/>
                <w:bCs/>
                <w:color w:val="000000" w:themeColor="text1"/>
                <w:sz w:val="18"/>
                <w:szCs w:val="18"/>
              </w:rPr>
            </w:pPr>
            <w:r w:rsidRPr="003A2C1D">
              <w:rPr>
                <w:rFonts w:eastAsia="Calibri" w:cstheme="minorHAnsi"/>
                <w:b/>
                <w:bCs/>
                <w:color w:val="000000" w:themeColor="text1"/>
                <w:sz w:val="18"/>
                <w:szCs w:val="18"/>
              </w:rPr>
              <w:t>5084</w:t>
            </w:r>
          </w:p>
        </w:tc>
        <w:tc>
          <w:tcPr>
            <w:tcW w:w="629" w:type="pct"/>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70" w:type="dxa"/>
              <w:right w:w="70" w:type="dxa"/>
            </w:tcMar>
            <w:vAlign w:val="bottom"/>
          </w:tcPr>
          <w:p w14:paraId="6F76FE6E" w14:textId="63B366DE" w:rsidR="004318BB" w:rsidRPr="003A2C1D" w:rsidRDefault="004318BB" w:rsidP="00C61E0E">
            <w:pPr>
              <w:spacing w:after="0"/>
              <w:jc w:val="right"/>
              <w:rPr>
                <w:rFonts w:cstheme="minorHAnsi"/>
                <w:sz w:val="18"/>
                <w:szCs w:val="18"/>
              </w:rPr>
            </w:pPr>
            <w:r w:rsidRPr="003A2C1D">
              <w:rPr>
                <w:rFonts w:eastAsia="Calibri" w:cstheme="minorHAnsi"/>
                <w:b/>
                <w:bCs/>
                <w:color w:val="000000" w:themeColor="text1"/>
                <w:sz w:val="18"/>
                <w:szCs w:val="18"/>
              </w:rPr>
              <w:t>4622</w:t>
            </w:r>
          </w:p>
        </w:tc>
        <w:tc>
          <w:tcPr>
            <w:tcW w:w="629" w:type="pct"/>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70" w:type="dxa"/>
              <w:right w:w="70" w:type="dxa"/>
            </w:tcMar>
            <w:vAlign w:val="bottom"/>
          </w:tcPr>
          <w:p w14:paraId="430BABAF" w14:textId="77777777" w:rsidR="004318BB" w:rsidRPr="003A2C1D" w:rsidRDefault="004318BB" w:rsidP="00C61E0E">
            <w:pPr>
              <w:spacing w:after="0"/>
              <w:jc w:val="right"/>
              <w:rPr>
                <w:rFonts w:cstheme="minorHAnsi"/>
                <w:sz w:val="18"/>
                <w:szCs w:val="18"/>
              </w:rPr>
            </w:pPr>
            <w:r w:rsidRPr="003A2C1D">
              <w:rPr>
                <w:rFonts w:eastAsia="Calibri" w:cstheme="minorHAnsi"/>
                <w:b/>
                <w:bCs/>
                <w:color w:val="000000" w:themeColor="text1"/>
                <w:sz w:val="18"/>
                <w:szCs w:val="18"/>
              </w:rPr>
              <w:t>4720</w:t>
            </w:r>
          </w:p>
        </w:tc>
        <w:tc>
          <w:tcPr>
            <w:tcW w:w="629" w:type="pct"/>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70" w:type="dxa"/>
              <w:right w:w="70" w:type="dxa"/>
            </w:tcMar>
            <w:vAlign w:val="bottom"/>
          </w:tcPr>
          <w:p w14:paraId="31C63DCE" w14:textId="352B700F" w:rsidR="004318BB" w:rsidRPr="003A2C1D" w:rsidRDefault="004318BB" w:rsidP="00C61E0E">
            <w:pPr>
              <w:spacing w:after="0"/>
              <w:jc w:val="right"/>
              <w:rPr>
                <w:rFonts w:cstheme="minorHAnsi"/>
                <w:sz w:val="18"/>
                <w:szCs w:val="18"/>
              </w:rPr>
            </w:pPr>
            <w:r w:rsidRPr="003A2C1D">
              <w:rPr>
                <w:rFonts w:eastAsia="Calibri" w:cstheme="minorHAnsi"/>
                <w:b/>
                <w:bCs/>
                <w:color w:val="000000" w:themeColor="text1"/>
                <w:sz w:val="18"/>
                <w:szCs w:val="18"/>
              </w:rPr>
              <w:t>5197</w:t>
            </w:r>
          </w:p>
        </w:tc>
        <w:tc>
          <w:tcPr>
            <w:tcW w:w="629" w:type="pct"/>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221B02C7" w14:textId="3CC2451A" w:rsidR="004318BB" w:rsidRPr="003A2C1D" w:rsidRDefault="004318BB" w:rsidP="00C61E0E">
            <w:pPr>
              <w:spacing w:after="0"/>
              <w:jc w:val="right"/>
              <w:rPr>
                <w:rFonts w:eastAsia="Calibri" w:cstheme="minorHAnsi"/>
                <w:b/>
                <w:bCs/>
                <w:color w:val="000000" w:themeColor="text1"/>
                <w:sz w:val="18"/>
                <w:szCs w:val="18"/>
              </w:rPr>
            </w:pPr>
            <w:r w:rsidRPr="003A2C1D">
              <w:rPr>
                <w:rFonts w:eastAsia="Calibri" w:cstheme="minorHAnsi"/>
                <w:b/>
                <w:bCs/>
                <w:color w:val="000000" w:themeColor="text1"/>
                <w:sz w:val="18"/>
                <w:szCs w:val="18"/>
              </w:rPr>
              <w:t>5452</w:t>
            </w:r>
          </w:p>
        </w:tc>
        <w:tc>
          <w:tcPr>
            <w:tcW w:w="629" w:type="pct"/>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70" w:type="dxa"/>
              <w:right w:w="70" w:type="dxa"/>
            </w:tcMar>
            <w:vAlign w:val="bottom"/>
          </w:tcPr>
          <w:p w14:paraId="1D3DCA86" w14:textId="15E52FE8" w:rsidR="004318BB" w:rsidRPr="003A2C1D" w:rsidRDefault="00F96F65" w:rsidP="00C61E0E">
            <w:pPr>
              <w:spacing w:after="0"/>
              <w:jc w:val="right"/>
              <w:rPr>
                <w:rFonts w:cstheme="minorHAnsi"/>
                <w:sz w:val="18"/>
                <w:szCs w:val="18"/>
              </w:rPr>
            </w:pPr>
            <w:r w:rsidRPr="003A2C1D">
              <w:rPr>
                <w:rFonts w:eastAsia="Calibri" w:cstheme="minorHAnsi"/>
                <w:b/>
                <w:bCs/>
                <w:color w:val="000000" w:themeColor="text1"/>
                <w:sz w:val="18"/>
                <w:szCs w:val="18"/>
              </w:rPr>
              <w:t>25075</w:t>
            </w:r>
          </w:p>
        </w:tc>
      </w:tr>
    </w:tbl>
    <w:p w14:paraId="211CA67E" w14:textId="77777777" w:rsidR="005000D0" w:rsidRDefault="005000D0" w:rsidP="005000D0">
      <w:r w:rsidRPr="3AA98E63">
        <w:rPr>
          <w:rFonts w:ascii="Calibri" w:eastAsia="Calibri" w:hAnsi="Calibri" w:cs="Calibri"/>
        </w:rPr>
        <w:t xml:space="preserve"> </w:t>
      </w:r>
      <w:r w:rsidRPr="3AA98E63">
        <w:rPr>
          <w:rFonts w:ascii="Calibri" w:eastAsia="Calibri" w:hAnsi="Calibri" w:cs="Calibri"/>
          <w:i/>
          <w:iCs/>
          <w:sz w:val="18"/>
          <w:szCs w:val="18"/>
        </w:rPr>
        <w:t>Fonte: Ministério da Saúde - Sistema de Informações Hospitalares do SUS (SIH/SUS)</w:t>
      </w:r>
    </w:p>
    <w:p w14:paraId="4D2630C7" w14:textId="77777777" w:rsidR="00E147F1" w:rsidRDefault="00E147F1" w:rsidP="00E147F1">
      <w:pPr>
        <w:spacing w:after="0" w:line="240" w:lineRule="auto"/>
        <w:rPr>
          <w:rFonts w:ascii="Calibri" w:eastAsia="Calibri" w:hAnsi="Calibri" w:cs="Calibri"/>
        </w:rPr>
      </w:pPr>
    </w:p>
    <w:p w14:paraId="07795346" w14:textId="4BCDF1F5" w:rsidR="005000D0" w:rsidRDefault="00E147F1" w:rsidP="00EA6353">
      <w:pPr>
        <w:spacing w:after="0" w:line="240" w:lineRule="auto"/>
      </w:pPr>
      <w:r w:rsidRPr="3AA98E63">
        <w:rPr>
          <w:rFonts w:ascii="Calibri" w:eastAsia="Calibri" w:hAnsi="Calibri" w:cs="Calibri"/>
        </w:rPr>
        <w:t>De acordo com o Sistema de Informação sobre Mortalidade do Ministério da Saúde, de 201</w:t>
      </w:r>
      <w:r>
        <w:rPr>
          <w:rFonts w:ascii="Calibri" w:eastAsia="Calibri" w:hAnsi="Calibri" w:cs="Calibri"/>
        </w:rPr>
        <w:t>2</w:t>
      </w:r>
      <w:r w:rsidRPr="3AA98E63">
        <w:rPr>
          <w:rFonts w:ascii="Calibri" w:eastAsia="Calibri" w:hAnsi="Calibri" w:cs="Calibri"/>
        </w:rPr>
        <w:t xml:space="preserve"> a 202</w:t>
      </w:r>
      <w:r>
        <w:rPr>
          <w:rFonts w:ascii="Calibri" w:eastAsia="Calibri" w:hAnsi="Calibri" w:cs="Calibri"/>
        </w:rPr>
        <w:t>1</w:t>
      </w:r>
      <w:r w:rsidRPr="3AA98E63">
        <w:rPr>
          <w:rFonts w:ascii="Calibri" w:eastAsia="Calibri" w:hAnsi="Calibri" w:cs="Calibri"/>
        </w:rPr>
        <w:t>, 3.</w:t>
      </w:r>
      <w:r>
        <w:rPr>
          <w:rFonts w:ascii="Calibri" w:eastAsia="Calibri" w:hAnsi="Calibri" w:cs="Calibri"/>
        </w:rPr>
        <w:t>763</w:t>
      </w:r>
      <w:r w:rsidRPr="3AA98E63">
        <w:rPr>
          <w:rFonts w:ascii="Calibri" w:eastAsia="Calibri" w:hAnsi="Calibri" w:cs="Calibri"/>
        </w:rPr>
        <w:t xml:space="preserve"> homens </w:t>
      </w:r>
      <w:r w:rsidR="00D77715">
        <w:rPr>
          <w:rFonts w:ascii="Calibri" w:eastAsia="Calibri" w:hAnsi="Calibri" w:cs="Calibri"/>
        </w:rPr>
        <w:t>vieram a óbito em razão do</w:t>
      </w:r>
      <w:r w:rsidRPr="3AA98E63">
        <w:rPr>
          <w:rFonts w:ascii="Calibri" w:eastAsia="Calibri" w:hAnsi="Calibri" w:cs="Calibri"/>
        </w:rPr>
        <w:t xml:space="preserve"> câncer de testículo, sendo cerca de 60% (2.</w:t>
      </w:r>
      <w:r w:rsidR="008C1F7C">
        <w:rPr>
          <w:rFonts w:ascii="Calibri" w:eastAsia="Calibri" w:hAnsi="Calibri" w:cs="Calibri"/>
        </w:rPr>
        <w:t>246</w:t>
      </w:r>
      <w:r w:rsidRPr="3AA98E63">
        <w:rPr>
          <w:rFonts w:ascii="Calibri" w:eastAsia="Calibri" w:hAnsi="Calibri" w:cs="Calibri"/>
        </w:rPr>
        <w:t xml:space="preserve">) na faixa etária de 20 a 39 anos. </w:t>
      </w:r>
    </w:p>
    <w:p w14:paraId="09F2EE91" w14:textId="31E4610C" w:rsidR="0082667A" w:rsidRDefault="0082667A">
      <w:r>
        <w:br w:type="page"/>
      </w:r>
    </w:p>
    <w:p w14:paraId="72486D98" w14:textId="77777777" w:rsidR="00C61E0E" w:rsidRDefault="00C61E0E" w:rsidP="00B37EEB">
      <w:pPr>
        <w:spacing w:after="0" w:line="240" w:lineRule="auto"/>
        <w:rPr>
          <w:rFonts w:ascii="Calibri" w:eastAsia="Calibri" w:hAnsi="Calibri" w:cs="Calibri"/>
          <w:b/>
          <w:bCs/>
          <w:sz w:val="20"/>
          <w:szCs w:val="20"/>
        </w:rPr>
      </w:pPr>
    </w:p>
    <w:p w14:paraId="4ECC1FDA" w14:textId="4620C593" w:rsidR="00B37EEB" w:rsidRDefault="00B37EEB" w:rsidP="00B37EEB">
      <w:pPr>
        <w:spacing w:after="0" w:line="240" w:lineRule="auto"/>
        <w:rPr>
          <w:rFonts w:ascii="Calibri" w:eastAsia="Calibri" w:hAnsi="Calibri" w:cs="Calibri"/>
          <w:b/>
          <w:bCs/>
          <w:sz w:val="20"/>
          <w:szCs w:val="20"/>
        </w:rPr>
      </w:pPr>
      <w:r w:rsidRPr="3AA98E63">
        <w:rPr>
          <w:rFonts w:ascii="Calibri" w:eastAsia="Calibri" w:hAnsi="Calibri" w:cs="Calibri"/>
          <w:b/>
          <w:bCs/>
          <w:sz w:val="20"/>
          <w:szCs w:val="20"/>
        </w:rPr>
        <w:t>Taxa de mortalidade por câncer de testículos por idade, entre 201</w:t>
      </w:r>
      <w:r>
        <w:rPr>
          <w:rFonts w:ascii="Calibri" w:eastAsia="Calibri" w:hAnsi="Calibri" w:cs="Calibri"/>
          <w:b/>
          <w:bCs/>
          <w:sz w:val="20"/>
          <w:szCs w:val="20"/>
        </w:rPr>
        <w:t>2</w:t>
      </w:r>
      <w:r w:rsidRPr="3AA98E63">
        <w:rPr>
          <w:rFonts w:ascii="Calibri" w:eastAsia="Calibri" w:hAnsi="Calibri" w:cs="Calibri"/>
          <w:b/>
          <w:bCs/>
          <w:sz w:val="20"/>
          <w:szCs w:val="20"/>
        </w:rPr>
        <w:t xml:space="preserve"> e 202</w:t>
      </w:r>
      <w:r>
        <w:rPr>
          <w:rFonts w:ascii="Calibri" w:eastAsia="Calibri" w:hAnsi="Calibri" w:cs="Calibri"/>
          <w:b/>
          <w:bCs/>
          <w:sz w:val="20"/>
          <w:szCs w:val="20"/>
        </w:rPr>
        <w:t>1</w:t>
      </w:r>
    </w:p>
    <w:p w14:paraId="7D7D7204" w14:textId="77777777" w:rsidR="004F728C" w:rsidRDefault="004F728C" w:rsidP="00B37EEB">
      <w:pPr>
        <w:spacing w:after="0" w:line="240" w:lineRule="auto"/>
        <w:rPr>
          <w:rFonts w:ascii="Calibri" w:eastAsia="Calibri" w:hAnsi="Calibri" w:cs="Calibri"/>
          <w:b/>
          <w:bCs/>
          <w:sz w:val="20"/>
          <w:szCs w:val="20"/>
        </w:rPr>
      </w:pPr>
    </w:p>
    <w:tbl>
      <w:tblPr>
        <w:tblW w:w="5000" w:type="pct"/>
        <w:tblLook w:val="04A0" w:firstRow="1" w:lastRow="0" w:firstColumn="1" w:lastColumn="0" w:noHBand="0" w:noVBand="1"/>
      </w:tblPr>
      <w:tblGrid>
        <w:gridCol w:w="4028"/>
        <w:gridCol w:w="4456"/>
      </w:tblGrid>
      <w:tr w:rsidR="00B37EEB" w14:paraId="68CB15D6" w14:textId="77777777" w:rsidTr="0082667A">
        <w:trPr>
          <w:trHeight w:val="285"/>
        </w:trPr>
        <w:tc>
          <w:tcPr>
            <w:tcW w:w="2374" w:type="pct"/>
            <w:tcBorders>
              <w:top w:val="single" w:sz="8" w:space="0" w:color="auto"/>
              <w:left w:val="single" w:sz="8" w:space="0" w:color="auto"/>
              <w:bottom w:val="single" w:sz="8" w:space="0" w:color="auto"/>
              <w:right w:val="single" w:sz="8" w:space="0" w:color="auto"/>
            </w:tcBorders>
            <w:shd w:val="clear" w:color="auto" w:fill="CC99FF"/>
            <w:tcMar>
              <w:left w:w="70" w:type="dxa"/>
              <w:right w:w="70" w:type="dxa"/>
            </w:tcMar>
            <w:vAlign w:val="bottom"/>
          </w:tcPr>
          <w:p w14:paraId="07EED680" w14:textId="77777777" w:rsidR="00B37EEB" w:rsidRDefault="00B37EEB" w:rsidP="002527AC">
            <w:r w:rsidRPr="3AA98E63">
              <w:rPr>
                <w:rFonts w:ascii="Calibri" w:eastAsia="Calibri" w:hAnsi="Calibri" w:cs="Calibri"/>
                <w:b/>
                <w:bCs/>
                <w:color w:val="000000" w:themeColor="text1"/>
                <w:sz w:val="18"/>
                <w:szCs w:val="18"/>
              </w:rPr>
              <w:t>Faixa etária</w:t>
            </w:r>
          </w:p>
        </w:tc>
        <w:tc>
          <w:tcPr>
            <w:tcW w:w="2626" w:type="pct"/>
            <w:tcBorders>
              <w:top w:val="single" w:sz="8" w:space="0" w:color="auto"/>
              <w:left w:val="single" w:sz="8" w:space="0" w:color="auto"/>
              <w:bottom w:val="single" w:sz="8" w:space="0" w:color="auto"/>
              <w:right w:val="single" w:sz="8" w:space="0" w:color="auto"/>
            </w:tcBorders>
            <w:shd w:val="clear" w:color="auto" w:fill="CC99FF"/>
            <w:tcMar>
              <w:left w:w="70" w:type="dxa"/>
              <w:right w:w="70" w:type="dxa"/>
            </w:tcMar>
            <w:vAlign w:val="bottom"/>
          </w:tcPr>
          <w:p w14:paraId="70A799FB" w14:textId="77777777" w:rsidR="00B37EEB" w:rsidRDefault="00B37EEB" w:rsidP="002527AC">
            <w:r w:rsidRPr="3AA98E63">
              <w:rPr>
                <w:rFonts w:ascii="Calibri" w:eastAsia="Calibri" w:hAnsi="Calibri" w:cs="Calibri"/>
                <w:b/>
                <w:bCs/>
                <w:color w:val="000000" w:themeColor="text1"/>
                <w:sz w:val="18"/>
                <w:szCs w:val="18"/>
              </w:rPr>
              <w:t>Número de óbitos</w:t>
            </w:r>
          </w:p>
        </w:tc>
      </w:tr>
      <w:tr w:rsidR="00B37EEB" w14:paraId="41150610" w14:textId="77777777" w:rsidTr="0082667A">
        <w:trPr>
          <w:trHeight w:val="285"/>
        </w:trPr>
        <w:tc>
          <w:tcPr>
            <w:tcW w:w="2374"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211A30F" w14:textId="77777777" w:rsidR="00B37EEB" w:rsidRDefault="00B37EEB" w:rsidP="002527AC">
            <w:r w:rsidRPr="3AA98E63">
              <w:rPr>
                <w:rFonts w:ascii="Calibri" w:eastAsia="Calibri" w:hAnsi="Calibri" w:cs="Calibri"/>
                <w:color w:val="000000" w:themeColor="text1"/>
                <w:sz w:val="18"/>
                <w:szCs w:val="18"/>
              </w:rPr>
              <w:t>0 a 4</w:t>
            </w:r>
          </w:p>
        </w:tc>
        <w:tc>
          <w:tcPr>
            <w:tcW w:w="2626"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9A95B02" w14:textId="6CE91BDB" w:rsidR="00B37EEB" w:rsidRDefault="007950CA" w:rsidP="002527AC">
            <w:pPr>
              <w:jc w:val="right"/>
            </w:pPr>
            <w:r>
              <w:rPr>
                <w:rFonts w:ascii="Calibri" w:eastAsia="Calibri" w:hAnsi="Calibri" w:cs="Calibri"/>
                <w:color w:val="000000" w:themeColor="text1"/>
                <w:sz w:val="18"/>
                <w:szCs w:val="18"/>
              </w:rPr>
              <w:t>15</w:t>
            </w:r>
          </w:p>
        </w:tc>
      </w:tr>
      <w:tr w:rsidR="00B37EEB" w14:paraId="74F4EEE0" w14:textId="77777777" w:rsidTr="0082667A">
        <w:trPr>
          <w:trHeight w:val="285"/>
        </w:trPr>
        <w:tc>
          <w:tcPr>
            <w:tcW w:w="2374"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E965F57" w14:textId="77777777" w:rsidR="00B37EEB" w:rsidRDefault="00B37EEB" w:rsidP="002527AC">
            <w:r w:rsidRPr="3AA98E63">
              <w:rPr>
                <w:rFonts w:ascii="Calibri" w:eastAsia="Calibri" w:hAnsi="Calibri" w:cs="Calibri"/>
                <w:color w:val="000000" w:themeColor="text1"/>
                <w:sz w:val="18"/>
                <w:szCs w:val="18"/>
              </w:rPr>
              <w:t>5 a 9</w:t>
            </w:r>
          </w:p>
        </w:tc>
        <w:tc>
          <w:tcPr>
            <w:tcW w:w="2626"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9D46A0A" w14:textId="77777777" w:rsidR="00B37EEB" w:rsidRDefault="00B37EEB" w:rsidP="002527AC">
            <w:pPr>
              <w:jc w:val="right"/>
            </w:pPr>
            <w:r w:rsidRPr="3AA98E63">
              <w:rPr>
                <w:rFonts w:ascii="Calibri" w:eastAsia="Calibri" w:hAnsi="Calibri" w:cs="Calibri"/>
                <w:color w:val="000000" w:themeColor="text1"/>
                <w:sz w:val="18"/>
                <w:szCs w:val="18"/>
              </w:rPr>
              <w:t>7</w:t>
            </w:r>
          </w:p>
        </w:tc>
      </w:tr>
      <w:tr w:rsidR="00B37EEB" w14:paraId="515F116D" w14:textId="77777777" w:rsidTr="0082667A">
        <w:trPr>
          <w:trHeight w:val="285"/>
        </w:trPr>
        <w:tc>
          <w:tcPr>
            <w:tcW w:w="2374"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37D0121" w14:textId="77777777" w:rsidR="00B37EEB" w:rsidRDefault="00B37EEB" w:rsidP="002527AC">
            <w:r w:rsidRPr="3AA98E63">
              <w:rPr>
                <w:rFonts w:ascii="Calibri" w:eastAsia="Calibri" w:hAnsi="Calibri" w:cs="Calibri"/>
                <w:color w:val="000000" w:themeColor="text1"/>
                <w:sz w:val="18"/>
                <w:szCs w:val="18"/>
              </w:rPr>
              <w:t>10 a 14</w:t>
            </w:r>
          </w:p>
        </w:tc>
        <w:tc>
          <w:tcPr>
            <w:tcW w:w="2626"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DA155A3" w14:textId="08A4F30F" w:rsidR="00B37EEB" w:rsidRDefault="007950CA" w:rsidP="002527AC">
            <w:pPr>
              <w:jc w:val="right"/>
            </w:pPr>
            <w:r>
              <w:rPr>
                <w:rFonts w:ascii="Calibri" w:eastAsia="Calibri" w:hAnsi="Calibri" w:cs="Calibri"/>
                <w:color w:val="000000" w:themeColor="text1"/>
                <w:sz w:val="18"/>
                <w:szCs w:val="18"/>
              </w:rPr>
              <w:t>10</w:t>
            </w:r>
          </w:p>
        </w:tc>
      </w:tr>
      <w:tr w:rsidR="00B37EEB" w14:paraId="0BD756A4" w14:textId="77777777" w:rsidTr="0082667A">
        <w:trPr>
          <w:trHeight w:val="285"/>
        </w:trPr>
        <w:tc>
          <w:tcPr>
            <w:tcW w:w="2374"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72C59D0" w14:textId="77777777" w:rsidR="00B37EEB" w:rsidRDefault="00B37EEB" w:rsidP="002527AC">
            <w:r w:rsidRPr="3AA98E63">
              <w:rPr>
                <w:rFonts w:ascii="Calibri" w:eastAsia="Calibri" w:hAnsi="Calibri" w:cs="Calibri"/>
                <w:color w:val="000000" w:themeColor="text1"/>
                <w:sz w:val="18"/>
                <w:szCs w:val="18"/>
              </w:rPr>
              <w:t>15 a 19</w:t>
            </w:r>
          </w:p>
        </w:tc>
        <w:tc>
          <w:tcPr>
            <w:tcW w:w="2626"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B7E6AE4" w14:textId="7D9AB292" w:rsidR="00B37EEB" w:rsidRDefault="007950CA" w:rsidP="002527AC">
            <w:pPr>
              <w:jc w:val="right"/>
            </w:pPr>
            <w:r>
              <w:rPr>
                <w:rFonts w:ascii="Calibri" w:eastAsia="Calibri" w:hAnsi="Calibri" w:cs="Calibri"/>
                <w:color w:val="000000" w:themeColor="text1"/>
                <w:sz w:val="18"/>
                <w:szCs w:val="18"/>
              </w:rPr>
              <w:t>217</w:t>
            </w:r>
          </w:p>
        </w:tc>
      </w:tr>
      <w:tr w:rsidR="00B37EEB" w14:paraId="3374A2F8" w14:textId="77777777" w:rsidTr="0082667A">
        <w:trPr>
          <w:trHeight w:val="285"/>
        </w:trPr>
        <w:tc>
          <w:tcPr>
            <w:tcW w:w="2374"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F2392B0" w14:textId="77777777" w:rsidR="00B37EEB" w:rsidRDefault="00B37EEB" w:rsidP="002527AC">
            <w:r w:rsidRPr="3AA98E63">
              <w:rPr>
                <w:rFonts w:ascii="Calibri" w:eastAsia="Calibri" w:hAnsi="Calibri" w:cs="Calibri"/>
                <w:color w:val="000000" w:themeColor="text1"/>
                <w:sz w:val="18"/>
                <w:szCs w:val="18"/>
              </w:rPr>
              <w:t>20 a 29</w:t>
            </w:r>
          </w:p>
        </w:tc>
        <w:tc>
          <w:tcPr>
            <w:tcW w:w="2626"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2BF6438" w14:textId="270A55D0" w:rsidR="00B37EEB" w:rsidRDefault="00B37EEB" w:rsidP="002527AC">
            <w:pPr>
              <w:jc w:val="right"/>
            </w:pPr>
            <w:r w:rsidRPr="3AA98E63">
              <w:rPr>
                <w:rFonts w:ascii="Calibri" w:eastAsia="Calibri" w:hAnsi="Calibri" w:cs="Calibri"/>
                <w:color w:val="000000" w:themeColor="text1"/>
                <w:sz w:val="18"/>
                <w:szCs w:val="18"/>
              </w:rPr>
              <w:t>1.2</w:t>
            </w:r>
            <w:r w:rsidR="007950CA">
              <w:rPr>
                <w:rFonts w:ascii="Calibri" w:eastAsia="Calibri" w:hAnsi="Calibri" w:cs="Calibri"/>
                <w:color w:val="000000" w:themeColor="text1"/>
                <w:sz w:val="18"/>
                <w:szCs w:val="18"/>
              </w:rPr>
              <w:t>23</w:t>
            </w:r>
          </w:p>
        </w:tc>
      </w:tr>
      <w:tr w:rsidR="00B37EEB" w14:paraId="6B7265D3" w14:textId="77777777" w:rsidTr="0082667A">
        <w:trPr>
          <w:trHeight w:val="285"/>
        </w:trPr>
        <w:tc>
          <w:tcPr>
            <w:tcW w:w="2374"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C9CC9DB" w14:textId="77777777" w:rsidR="00B37EEB" w:rsidRDefault="00B37EEB" w:rsidP="002527AC">
            <w:r w:rsidRPr="3AA98E63">
              <w:rPr>
                <w:rFonts w:ascii="Calibri" w:eastAsia="Calibri" w:hAnsi="Calibri" w:cs="Calibri"/>
                <w:color w:val="000000" w:themeColor="text1"/>
                <w:sz w:val="18"/>
                <w:szCs w:val="18"/>
              </w:rPr>
              <w:t>30 a 39</w:t>
            </w:r>
          </w:p>
        </w:tc>
        <w:tc>
          <w:tcPr>
            <w:tcW w:w="2626"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5F88E28" w14:textId="24B64A63" w:rsidR="00B37EEB" w:rsidRDefault="00B37EEB" w:rsidP="002527AC">
            <w:pPr>
              <w:jc w:val="right"/>
            </w:pPr>
            <w:r w:rsidRPr="3AA98E63">
              <w:rPr>
                <w:rFonts w:ascii="Calibri" w:eastAsia="Calibri" w:hAnsi="Calibri" w:cs="Calibri"/>
                <w:color w:val="000000" w:themeColor="text1"/>
                <w:sz w:val="18"/>
                <w:szCs w:val="18"/>
              </w:rPr>
              <w:t>1.0</w:t>
            </w:r>
            <w:r w:rsidR="007950CA">
              <w:rPr>
                <w:rFonts w:ascii="Calibri" w:eastAsia="Calibri" w:hAnsi="Calibri" w:cs="Calibri"/>
                <w:color w:val="000000" w:themeColor="text1"/>
                <w:sz w:val="18"/>
                <w:szCs w:val="18"/>
              </w:rPr>
              <w:t>23</w:t>
            </w:r>
          </w:p>
        </w:tc>
      </w:tr>
      <w:tr w:rsidR="00B37EEB" w14:paraId="49F4E457" w14:textId="77777777" w:rsidTr="0082667A">
        <w:trPr>
          <w:trHeight w:val="285"/>
        </w:trPr>
        <w:tc>
          <w:tcPr>
            <w:tcW w:w="2374"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EB952EE" w14:textId="77777777" w:rsidR="00B37EEB" w:rsidRDefault="00B37EEB" w:rsidP="002527AC">
            <w:r w:rsidRPr="3AA98E63">
              <w:rPr>
                <w:rFonts w:ascii="Calibri" w:eastAsia="Calibri" w:hAnsi="Calibri" w:cs="Calibri"/>
                <w:color w:val="000000" w:themeColor="text1"/>
                <w:sz w:val="18"/>
                <w:szCs w:val="18"/>
              </w:rPr>
              <w:t>40 a 49</w:t>
            </w:r>
          </w:p>
        </w:tc>
        <w:tc>
          <w:tcPr>
            <w:tcW w:w="2626"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6AF30EE" w14:textId="4C2AFAC4" w:rsidR="00B37EEB" w:rsidRDefault="00B37EEB" w:rsidP="002527AC">
            <w:pPr>
              <w:jc w:val="right"/>
            </w:pPr>
            <w:r w:rsidRPr="3AA98E63">
              <w:rPr>
                <w:rFonts w:ascii="Calibri" w:eastAsia="Calibri" w:hAnsi="Calibri" w:cs="Calibri"/>
                <w:color w:val="000000" w:themeColor="text1"/>
                <w:sz w:val="18"/>
                <w:szCs w:val="18"/>
              </w:rPr>
              <w:t>4</w:t>
            </w:r>
            <w:r w:rsidR="007950CA">
              <w:rPr>
                <w:rFonts w:ascii="Calibri" w:eastAsia="Calibri" w:hAnsi="Calibri" w:cs="Calibri"/>
                <w:color w:val="000000" w:themeColor="text1"/>
                <w:sz w:val="18"/>
                <w:szCs w:val="18"/>
              </w:rPr>
              <w:t>59</w:t>
            </w:r>
          </w:p>
        </w:tc>
      </w:tr>
      <w:tr w:rsidR="00B37EEB" w14:paraId="5FCA6DEA" w14:textId="77777777" w:rsidTr="0082667A">
        <w:trPr>
          <w:trHeight w:val="285"/>
        </w:trPr>
        <w:tc>
          <w:tcPr>
            <w:tcW w:w="2374"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2E8BB31" w14:textId="77777777" w:rsidR="00B37EEB" w:rsidRDefault="00B37EEB" w:rsidP="002527AC">
            <w:r w:rsidRPr="3AA98E63">
              <w:rPr>
                <w:rFonts w:ascii="Calibri" w:eastAsia="Calibri" w:hAnsi="Calibri" w:cs="Calibri"/>
                <w:color w:val="000000" w:themeColor="text1"/>
                <w:sz w:val="18"/>
                <w:szCs w:val="18"/>
              </w:rPr>
              <w:t>50 a 59</w:t>
            </w:r>
          </w:p>
        </w:tc>
        <w:tc>
          <w:tcPr>
            <w:tcW w:w="2626"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5621B9F" w14:textId="3C922FEF" w:rsidR="00B37EEB" w:rsidRDefault="00C52B16" w:rsidP="002527AC">
            <w:pPr>
              <w:jc w:val="right"/>
            </w:pPr>
            <w:r>
              <w:rPr>
                <w:rFonts w:ascii="Calibri" w:eastAsia="Calibri" w:hAnsi="Calibri" w:cs="Calibri"/>
                <w:color w:val="000000" w:themeColor="text1"/>
                <w:sz w:val="18"/>
                <w:szCs w:val="18"/>
              </w:rPr>
              <w:t>279</w:t>
            </w:r>
          </w:p>
        </w:tc>
      </w:tr>
      <w:tr w:rsidR="00B37EEB" w14:paraId="4AFA92F1" w14:textId="77777777" w:rsidTr="0082667A">
        <w:trPr>
          <w:trHeight w:val="285"/>
        </w:trPr>
        <w:tc>
          <w:tcPr>
            <w:tcW w:w="2374"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3E78AF6" w14:textId="77777777" w:rsidR="00B37EEB" w:rsidRDefault="00B37EEB" w:rsidP="002527AC">
            <w:r w:rsidRPr="3AA98E63">
              <w:rPr>
                <w:rFonts w:ascii="Calibri" w:eastAsia="Calibri" w:hAnsi="Calibri" w:cs="Calibri"/>
                <w:color w:val="000000" w:themeColor="text1"/>
                <w:sz w:val="18"/>
                <w:szCs w:val="18"/>
              </w:rPr>
              <w:t>60 a 69</w:t>
            </w:r>
          </w:p>
        </w:tc>
        <w:tc>
          <w:tcPr>
            <w:tcW w:w="2626"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4CB0139" w14:textId="29348804" w:rsidR="00B37EEB" w:rsidRDefault="00C52B16" w:rsidP="002527AC">
            <w:pPr>
              <w:jc w:val="right"/>
            </w:pPr>
            <w:r>
              <w:rPr>
                <w:rFonts w:ascii="Calibri" w:eastAsia="Calibri" w:hAnsi="Calibri" w:cs="Calibri"/>
                <w:color w:val="000000" w:themeColor="text1"/>
                <w:sz w:val="18"/>
                <w:szCs w:val="18"/>
              </w:rPr>
              <w:t>201</w:t>
            </w:r>
          </w:p>
        </w:tc>
      </w:tr>
      <w:tr w:rsidR="00B37EEB" w14:paraId="47418537" w14:textId="77777777" w:rsidTr="0082667A">
        <w:trPr>
          <w:trHeight w:val="285"/>
        </w:trPr>
        <w:tc>
          <w:tcPr>
            <w:tcW w:w="2374"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9E3F9FA" w14:textId="77777777" w:rsidR="00B37EEB" w:rsidRDefault="00B37EEB" w:rsidP="002527AC">
            <w:r w:rsidRPr="3AA98E63">
              <w:rPr>
                <w:rFonts w:ascii="Calibri" w:eastAsia="Calibri" w:hAnsi="Calibri" w:cs="Calibri"/>
                <w:color w:val="000000" w:themeColor="text1"/>
                <w:sz w:val="18"/>
                <w:szCs w:val="18"/>
              </w:rPr>
              <w:t>70 a 79</w:t>
            </w:r>
          </w:p>
        </w:tc>
        <w:tc>
          <w:tcPr>
            <w:tcW w:w="2626"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9F997CF" w14:textId="7FCCDA59" w:rsidR="00B37EEB" w:rsidRDefault="00C52B16" w:rsidP="002527AC">
            <w:pPr>
              <w:jc w:val="right"/>
            </w:pPr>
            <w:r>
              <w:rPr>
                <w:rFonts w:ascii="Calibri" w:eastAsia="Calibri" w:hAnsi="Calibri" w:cs="Calibri"/>
                <w:color w:val="000000" w:themeColor="text1"/>
                <w:sz w:val="18"/>
                <w:szCs w:val="18"/>
              </w:rPr>
              <w:t>176</w:t>
            </w:r>
          </w:p>
        </w:tc>
      </w:tr>
      <w:tr w:rsidR="00B37EEB" w14:paraId="4CE2CED8" w14:textId="77777777" w:rsidTr="0082667A">
        <w:trPr>
          <w:trHeight w:val="285"/>
        </w:trPr>
        <w:tc>
          <w:tcPr>
            <w:tcW w:w="2374"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7A05E7B" w14:textId="77777777" w:rsidR="00B37EEB" w:rsidRDefault="00B37EEB" w:rsidP="002527AC">
            <w:r w:rsidRPr="3AA98E63">
              <w:rPr>
                <w:rFonts w:ascii="Calibri" w:eastAsia="Calibri" w:hAnsi="Calibri" w:cs="Calibri"/>
                <w:color w:val="000000" w:themeColor="text1"/>
                <w:sz w:val="18"/>
                <w:szCs w:val="18"/>
              </w:rPr>
              <w:t>80 ou mais</w:t>
            </w:r>
          </w:p>
        </w:tc>
        <w:tc>
          <w:tcPr>
            <w:tcW w:w="2626" w:type="pct"/>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E5563CF" w14:textId="3C3DF76B" w:rsidR="00B37EEB" w:rsidRDefault="00C52B16" w:rsidP="002527AC">
            <w:pPr>
              <w:jc w:val="right"/>
            </w:pPr>
            <w:r>
              <w:rPr>
                <w:rFonts w:ascii="Calibri" w:eastAsia="Calibri" w:hAnsi="Calibri" w:cs="Calibri"/>
                <w:color w:val="000000" w:themeColor="text1"/>
                <w:sz w:val="18"/>
                <w:szCs w:val="18"/>
              </w:rPr>
              <w:t>153</w:t>
            </w:r>
          </w:p>
        </w:tc>
      </w:tr>
      <w:tr w:rsidR="00B37EEB" w14:paraId="33732655" w14:textId="77777777" w:rsidTr="0082667A">
        <w:trPr>
          <w:trHeight w:val="285"/>
        </w:trPr>
        <w:tc>
          <w:tcPr>
            <w:tcW w:w="2374" w:type="pct"/>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70" w:type="dxa"/>
              <w:right w:w="70" w:type="dxa"/>
            </w:tcMar>
            <w:vAlign w:val="bottom"/>
          </w:tcPr>
          <w:p w14:paraId="34261BB9" w14:textId="77777777" w:rsidR="00B37EEB" w:rsidRDefault="00B37EEB" w:rsidP="002527AC">
            <w:r w:rsidRPr="3AA98E63">
              <w:rPr>
                <w:rFonts w:ascii="Calibri" w:eastAsia="Calibri" w:hAnsi="Calibri" w:cs="Calibri"/>
                <w:b/>
                <w:bCs/>
                <w:color w:val="000000" w:themeColor="text1"/>
                <w:sz w:val="18"/>
                <w:szCs w:val="18"/>
              </w:rPr>
              <w:t>Total</w:t>
            </w:r>
          </w:p>
        </w:tc>
        <w:tc>
          <w:tcPr>
            <w:tcW w:w="2626" w:type="pct"/>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70" w:type="dxa"/>
              <w:right w:w="70" w:type="dxa"/>
            </w:tcMar>
            <w:vAlign w:val="bottom"/>
          </w:tcPr>
          <w:p w14:paraId="35024739" w14:textId="050475B2" w:rsidR="00B37EEB" w:rsidRDefault="00B37EEB" w:rsidP="002527AC">
            <w:pPr>
              <w:jc w:val="right"/>
            </w:pPr>
            <w:r w:rsidRPr="3AA98E63">
              <w:rPr>
                <w:rFonts w:ascii="Calibri" w:eastAsia="Calibri" w:hAnsi="Calibri" w:cs="Calibri"/>
                <w:b/>
                <w:bCs/>
                <w:color w:val="000000" w:themeColor="text1"/>
                <w:sz w:val="18"/>
                <w:szCs w:val="18"/>
              </w:rPr>
              <w:t>3.</w:t>
            </w:r>
            <w:r w:rsidR="00C52B16">
              <w:rPr>
                <w:rFonts w:ascii="Calibri" w:eastAsia="Calibri" w:hAnsi="Calibri" w:cs="Calibri"/>
                <w:b/>
                <w:bCs/>
                <w:color w:val="000000" w:themeColor="text1"/>
                <w:sz w:val="18"/>
                <w:szCs w:val="18"/>
              </w:rPr>
              <w:t>763</w:t>
            </w:r>
          </w:p>
        </w:tc>
      </w:tr>
    </w:tbl>
    <w:p w14:paraId="63924F70" w14:textId="77777777" w:rsidR="00B37EEB" w:rsidRDefault="00B37EEB" w:rsidP="00B37EEB">
      <w:pPr>
        <w:spacing w:after="0" w:line="240" w:lineRule="auto"/>
      </w:pPr>
      <w:r w:rsidRPr="3AA98E63">
        <w:rPr>
          <w:rFonts w:ascii="Calibri" w:eastAsia="Calibri" w:hAnsi="Calibri" w:cs="Calibri"/>
          <w:i/>
          <w:iCs/>
          <w:sz w:val="18"/>
          <w:szCs w:val="18"/>
        </w:rPr>
        <w:t>Fontes: MS/SVS/DASIS/CGIAE/Sistema de Informação sobre Mortalidade – SIM</w:t>
      </w:r>
    </w:p>
    <w:p w14:paraId="7EFE5D3E" w14:textId="77777777" w:rsidR="00B37EEB" w:rsidRDefault="00B37EEB" w:rsidP="00B37EEB">
      <w:pPr>
        <w:spacing w:after="0" w:line="240" w:lineRule="auto"/>
      </w:pPr>
      <w:r w:rsidRPr="3AA98E63">
        <w:rPr>
          <w:rFonts w:ascii="Calibri" w:eastAsia="Calibri" w:hAnsi="Calibri" w:cs="Calibri"/>
          <w:i/>
          <w:iCs/>
          <w:sz w:val="18"/>
          <w:szCs w:val="18"/>
        </w:rPr>
        <w:t>MP/Fundação Instituto de Geografia e Estatística – IBGE</w:t>
      </w:r>
    </w:p>
    <w:p w14:paraId="7F4C0064" w14:textId="77777777" w:rsidR="00B37EEB" w:rsidRDefault="00B37EEB" w:rsidP="00B37EEB">
      <w:pPr>
        <w:spacing w:after="0" w:line="240" w:lineRule="auto"/>
      </w:pPr>
      <w:r w:rsidRPr="3AA98E63">
        <w:rPr>
          <w:rFonts w:ascii="Calibri" w:eastAsia="Calibri" w:hAnsi="Calibri" w:cs="Calibri"/>
          <w:i/>
          <w:iCs/>
          <w:sz w:val="18"/>
          <w:szCs w:val="18"/>
        </w:rPr>
        <w:t>MS/INCA/</w:t>
      </w:r>
      <w:proofErr w:type="spellStart"/>
      <w:r w:rsidRPr="3AA98E63">
        <w:rPr>
          <w:rFonts w:ascii="Calibri" w:eastAsia="Calibri" w:hAnsi="Calibri" w:cs="Calibri"/>
          <w:i/>
          <w:iCs/>
          <w:sz w:val="18"/>
          <w:szCs w:val="18"/>
        </w:rPr>
        <w:t>Conprev</w:t>
      </w:r>
      <w:proofErr w:type="spellEnd"/>
      <w:r w:rsidRPr="3AA98E63">
        <w:rPr>
          <w:rFonts w:ascii="Calibri" w:eastAsia="Calibri" w:hAnsi="Calibri" w:cs="Calibri"/>
          <w:i/>
          <w:iCs/>
          <w:sz w:val="18"/>
          <w:szCs w:val="18"/>
        </w:rPr>
        <w:t>/Divisão de Vigilância</w:t>
      </w:r>
    </w:p>
    <w:p w14:paraId="21B7F9AF" w14:textId="77777777" w:rsidR="00B37EEB" w:rsidRDefault="00B37EEB" w:rsidP="00B37EEB">
      <w:pPr>
        <w:spacing w:after="0" w:line="240" w:lineRule="auto"/>
      </w:pPr>
    </w:p>
    <w:p w14:paraId="3F0092FA" w14:textId="2C77E43D" w:rsidR="00132323" w:rsidRDefault="00132323" w:rsidP="00132323">
      <w:pPr>
        <w:spacing w:after="0" w:line="240" w:lineRule="auto"/>
        <w:rPr>
          <w:rFonts w:ascii="Calibri" w:eastAsia="Calibri" w:hAnsi="Calibri" w:cs="Calibri"/>
          <w:b/>
          <w:bCs/>
          <w:sz w:val="20"/>
          <w:szCs w:val="20"/>
        </w:rPr>
      </w:pPr>
      <w:r w:rsidRPr="3AA98E63">
        <w:rPr>
          <w:rFonts w:ascii="Calibri" w:eastAsia="Calibri" w:hAnsi="Calibri" w:cs="Calibri"/>
          <w:b/>
          <w:bCs/>
          <w:sz w:val="20"/>
          <w:szCs w:val="20"/>
        </w:rPr>
        <w:t xml:space="preserve">Taxa de mortalidade por câncer de testículos por </w:t>
      </w:r>
      <w:r>
        <w:rPr>
          <w:rFonts w:ascii="Calibri" w:eastAsia="Calibri" w:hAnsi="Calibri" w:cs="Calibri"/>
          <w:b/>
          <w:bCs/>
          <w:sz w:val="20"/>
          <w:szCs w:val="20"/>
        </w:rPr>
        <w:t>ano</w:t>
      </w:r>
      <w:r w:rsidRPr="3AA98E63">
        <w:rPr>
          <w:rFonts w:ascii="Calibri" w:eastAsia="Calibri" w:hAnsi="Calibri" w:cs="Calibri"/>
          <w:b/>
          <w:bCs/>
          <w:sz w:val="20"/>
          <w:szCs w:val="20"/>
        </w:rPr>
        <w:t>, entre 201</w:t>
      </w:r>
      <w:r>
        <w:rPr>
          <w:rFonts w:ascii="Calibri" w:eastAsia="Calibri" w:hAnsi="Calibri" w:cs="Calibri"/>
          <w:b/>
          <w:bCs/>
          <w:sz w:val="20"/>
          <w:szCs w:val="20"/>
        </w:rPr>
        <w:t>2</w:t>
      </w:r>
      <w:r w:rsidRPr="3AA98E63">
        <w:rPr>
          <w:rFonts w:ascii="Calibri" w:eastAsia="Calibri" w:hAnsi="Calibri" w:cs="Calibri"/>
          <w:b/>
          <w:bCs/>
          <w:sz w:val="20"/>
          <w:szCs w:val="20"/>
        </w:rPr>
        <w:t xml:space="preserve"> e 202</w:t>
      </w:r>
      <w:r>
        <w:rPr>
          <w:rFonts w:ascii="Calibri" w:eastAsia="Calibri" w:hAnsi="Calibri" w:cs="Calibri"/>
          <w:b/>
          <w:bCs/>
          <w:sz w:val="20"/>
          <w:szCs w:val="20"/>
        </w:rPr>
        <w:t>1</w:t>
      </w:r>
    </w:p>
    <w:p w14:paraId="3C7DBE76" w14:textId="77777777" w:rsidR="00132323" w:rsidRDefault="00132323" w:rsidP="00B37EEB">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1"/>
        <w:gridCol w:w="5103"/>
      </w:tblGrid>
      <w:tr w:rsidR="00132323" w:rsidRPr="00132323" w14:paraId="3E582FA2" w14:textId="77777777" w:rsidTr="0082667A">
        <w:trPr>
          <w:trHeight w:val="360"/>
        </w:trPr>
        <w:tc>
          <w:tcPr>
            <w:tcW w:w="1996" w:type="pct"/>
            <w:shd w:val="clear" w:color="auto" w:fill="CC99FF"/>
            <w:vAlign w:val="center"/>
            <w:hideMark/>
          </w:tcPr>
          <w:p w14:paraId="15CC2B00" w14:textId="77777777" w:rsidR="00132323" w:rsidRPr="00132323" w:rsidRDefault="00132323" w:rsidP="00132323">
            <w:pPr>
              <w:spacing w:after="0" w:line="240" w:lineRule="auto"/>
              <w:jc w:val="center"/>
              <w:rPr>
                <w:rFonts w:eastAsia="Times New Roman" w:cstheme="minorHAnsi"/>
                <w:b/>
                <w:bCs/>
                <w:color w:val="000000"/>
                <w:sz w:val="18"/>
                <w:szCs w:val="18"/>
                <w:lang w:eastAsia="pt-BR"/>
              </w:rPr>
            </w:pPr>
            <w:r w:rsidRPr="00132323">
              <w:rPr>
                <w:rFonts w:eastAsia="Times New Roman" w:cstheme="minorHAnsi"/>
                <w:b/>
                <w:bCs/>
                <w:color w:val="000000"/>
                <w:sz w:val="18"/>
                <w:szCs w:val="18"/>
                <w:lang w:eastAsia="pt-BR"/>
              </w:rPr>
              <w:t>Ano</w:t>
            </w:r>
          </w:p>
        </w:tc>
        <w:tc>
          <w:tcPr>
            <w:tcW w:w="3004" w:type="pct"/>
            <w:shd w:val="clear" w:color="auto" w:fill="CC99FF"/>
            <w:vAlign w:val="center"/>
            <w:hideMark/>
          </w:tcPr>
          <w:p w14:paraId="549A4BBB" w14:textId="79C9F5F2" w:rsidR="00132323" w:rsidRPr="00132323" w:rsidRDefault="00132323" w:rsidP="00132323">
            <w:pPr>
              <w:spacing w:after="0" w:line="240" w:lineRule="auto"/>
              <w:jc w:val="center"/>
              <w:rPr>
                <w:rFonts w:eastAsia="Times New Roman" w:cstheme="minorHAnsi"/>
                <w:b/>
                <w:bCs/>
                <w:color w:val="000000"/>
                <w:sz w:val="18"/>
                <w:szCs w:val="18"/>
                <w:lang w:eastAsia="pt-BR"/>
              </w:rPr>
            </w:pPr>
            <w:r w:rsidRPr="00132323">
              <w:rPr>
                <w:rFonts w:eastAsia="Times New Roman" w:cstheme="minorHAnsi"/>
                <w:b/>
                <w:bCs/>
                <w:color w:val="000000"/>
                <w:sz w:val="18"/>
                <w:szCs w:val="18"/>
                <w:lang w:eastAsia="pt-BR"/>
              </w:rPr>
              <w:t xml:space="preserve">Valor </w:t>
            </w:r>
            <w:r w:rsidR="008E4CBA">
              <w:rPr>
                <w:rFonts w:eastAsia="Times New Roman" w:cstheme="minorHAnsi"/>
                <w:b/>
                <w:bCs/>
                <w:color w:val="000000"/>
                <w:sz w:val="18"/>
                <w:szCs w:val="18"/>
                <w:lang w:eastAsia="pt-BR"/>
              </w:rPr>
              <w:t>a</w:t>
            </w:r>
            <w:r w:rsidRPr="00132323">
              <w:rPr>
                <w:rFonts w:eastAsia="Times New Roman" w:cstheme="minorHAnsi"/>
                <w:b/>
                <w:bCs/>
                <w:color w:val="000000"/>
                <w:sz w:val="18"/>
                <w:szCs w:val="18"/>
                <w:lang w:eastAsia="pt-BR"/>
              </w:rPr>
              <w:t>bsoluto</w:t>
            </w:r>
          </w:p>
        </w:tc>
      </w:tr>
      <w:tr w:rsidR="00132323" w:rsidRPr="00132323" w14:paraId="71350316" w14:textId="77777777" w:rsidTr="0082667A">
        <w:trPr>
          <w:trHeight w:val="288"/>
        </w:trPr>
        <w:tc>
          <w:tcPr>
            <w:tcW w:w="1996" w:type="pct"/>
            <w:shd w:val="clear" w:color="auto" w:fill="FFFFFF" w:themeFill="background1"/>
            <w:vAlign w:val="center"/>
            <w:hideMark/>
          </w:tcPr>
          <w:p w14:paraId="58282681" w14:textId="77777777" w:rsidR="00132323" w:rsidRPr="00132323" w:rsidRDefault="00132323" w:rsidP="00132323">
            <w:pPr>
              <w:spacing w:after="0" w:line="240" w:lineRule="auto"/>
              <w:rPr>
                <w:rFonts w:eastAsia="Times New Roman" w:cstheme="minorHAnsi"/>
                <w:color w:val="000000"/>
                <w:sz w:val="18"/>
                <w:szCs w:val="18"/>
                <w:lang w:eastAsia="pt-BR"/>
              </w:rPr>
            </w:pPr>
            <w:r w:rsidRPr="00132323">
              <w:rPr>
                <w:rFonts w:eastAsia="Times New Roman" w:cstheme="minorHAnsi"/>
                <w:color w:val="000000"/>
                <w:sz w:val="18"/>
                <w:szCs w:val="18"/>
                <w:lang w:eastAsia="pt-BR"/>
              </w:rPr>
              <w:t>2012</w:t>
            </w:r>
          </w:p>
        </w:tc>
        <w:tc>
          <w:tcPr>
            <w:tcW w:w="3004" w:type="pct"/>
            <w:shd w:val="clear" w:color="auto" w:fill="FFFFFF" w:themeFill="background1"/>
            <w:vAlign w:val="center"/>
            <w:hideMark/>
          </w:tcPr>
          <w:p w14:paraId="1759F5BD" w14:textId="77777777" w:rsidR="00132323" w:rsidRPr="00132323" w:rsidRDefault="00132323" w:rsidP="008E4CBA">
            <w:pPr>
              <w:spacing w:after="0" w:line="240" w:lineRule="auto"/>
              <w:jc w:val="right"/>
              <w:rPr>
                <w:rFonts w:eastAsia="Times New Roman" w:cstheme="minorHAnsi"/>
                <w:color w:val="000000"/>
                <w:sz w:val="18"/>
                <w:szCs w:val="18"/>
                <w:lang w:eastAsia="pt-BR"/>
              </w:rPr>
            </w:pPr>
            <w:r w:rsidRPr="00132323">
              <w:rPr>
                <w:rFonts w:eastAsia="Times New Roman" w:cstheme="minorHAnsi"/>
                <w:color w:val="000000"/>
                <w:sz w:val="18"/>
                <w:szCs w:val="18"/>
                <w:lang w:eastAsia="pt-BR"/>
              </w:rPr>
              <w:t>306</w:t>
            </w:r>
          </w:p>
        </w:tc>
      </w:tr>
      <w:tr w:rsidR="00132323" w:rsidRPr="00132323" w14:paraId="4D89CC55" w14:textId="77777777" w:rsidTr="0082667A">
        <w:trPr>
          <w:trHeight w:val="288"/>
        </w:trPr>
        <w:tc>
          <w:tcPr>
            <w:tcW w:w="1996" w:type="pct"/>
            <w:shd w:val="clear" w:color="auto" w:fill="FFFFFF" w:themeFill="background1"/>
            <w:vAlign w:val="center"/>
            <w:hideMark/>
          </w:tcPr>
          <w:p w14:paraId="19C4625F" w14:textId="77777777" w:rsidR="00132323" w:rsidRPr="00132323" w:rsidRDefault="00132323" w:rsidP="00132323">
            <w:pPr>
              <w:spacing w:after="0" w:line="240" w:lineRule="auto"/>
              <w:rPr>
                <w:rFonts w:eastAsia="Times New Roman" w:cstheme="minorHAnsi"/>
                <w:color w:val="000000"/>
                <w:sz w:val="18"/>
                <w:szCs w:val="18"/>
                <w:lang w:eastAsia="pt-BR"/>
              </w:rPr>
            </w:pPr>
            <w:r w:rsidRPr="00132323">
              <w:rPr>
                <w:rFonts w:eastAsia="Times New Roman" w:cstheme="minorHAnsi"/>
                <w:color w:val="000000"/>
                <w:sz w:val="18"/>
                <w:szCs w:val="18"/>
                <w:lang w:eastAsia="pt-BR"/>
              </w:rPr>
              <w:t>2013</w:t>
            </w:r>
          </w:p>
        </w:tc>
        <w:tc>
          <w:tcPr>
            <w:tcW w:w="3004" w:type="pct"/>
            <w:shd w:val="clear" w:color="auto" w:fill="FFFFFF" w:themeFill="background1"/>
            <w:vAlign w:val="center"/>
            <w:hideMark/>
          </w:tcPr>
          <w:p w14:paraId="1DFEA843" w14:textId="77777777" w:rsidR="00132323" w:rsidRPr="00132323" w:rsidRDefault="00132323" w:rsidP="008E4CBA">
            <w:pPr>
              <w:spacing w:after="0" w:line="240" w:lineRule="auto"/>
              <w:jc w:val="right"/>
              <w:rPr>
                <w:rFonts w:eastAsia="Times New Roman" w:cstheme="minorHAnsi"/>
                <w:color w:val="000000"/>
                <w:sz w:val="18"/>
                <w:szCs w:val="18"/>
                <w:lang w:eastAsia="pt-BR"/>
              </w:rPr>
            </w:pPr>
            <w:r w:rsidRPr="00132323">
              <w:rPr>
                <w:rFonts w:eastAsia="Times New Roman" w:cstheme="minorHAnsi"/>
                <w:color w:val="000000"/>
                <w:sz w:val="18"/>
                <w:szCs w:val="18"/>
                <w:lang w:eastAsia="pt-BR"/>
              </w:rPr>
              <w:t>343</w:t>
            </w:r>
          </w:p>
        </w:tc>
      </w:tr>
      <w:tr w:rsidR="00132323" w:rsidRPr="00132323" w14:paraId="729BA252" w14:textId="77777777" w:rsidTr="0082667A">
        <w:trPr>
          <w:trHeight w:val="288"/>
        </w:trPr>
        <w:tc>
          <w:tcPr>
            <w:tcW w:w="1996" w:type="pct"/>
            <w:shd w:val="clear" w:color="auto" w:fill="FFFFFF" w:themeFill="background1"/>
            <w:vAlign w:val="center"/>
            <w:hideMark/>
          </w:tcPr>
          <w:p w14:paraId="3A70C959" w14:textId="77777777" w:rsidR="00132323" w:rsidRPr="00132323" w:rsidRDefault="00132323" w:rsidP="00132323">
            <w:pPr>
              <w:spacing w:after="0" w:line="240" w:lineRule="auto"/>
              <w:rPr>
                <w:rFonts w:eastAsia="Times New Roman" w:cstheme="minorHAnsi"/>
                <w:color w:val="000000"/>
                <w:sz w:val="18"/>
                <w:szCs w:val="18"/>
                <w:lang w:eastAsia="pt-BR"/>
              </w:rPr>
            </w:pPr>
            <w:r w:rsidRPr="00132323">
              <w:rPr>
                <w:rFonts w:eastAsia="Times New Roman" w:cstheme="minorHAnsi"/>
                <w:color w:val="000000"/>
                <w:sz w:val="18"/>
                <w:szCs w:val="18"/>
                <w:lang w:eastAsia="pt-BR"/>
              </w:rPr>
              <w:t>2014</w:t>
            </w:r>
          </w:p>
        </w:tc>
        <w:tc>
          <w:tcPr>
            <w:tcW w:w="3004" w:type="pct"/>
            <w:shd w:val="clear" w:color="auto" w:fill="FFFFFF" w:themeFill="background1"/>
            <w:vAlign w:val="center"/>
            <w:hideMark/>
          </w:tcPr>
          <w:p w14:paraId="13E92776" w14:textId="77777777" w:rsidR="00132323" w:rsidRPr="00132323" w:rsidRDefault="00132323" w:rsidP="008E4CBA">
            <w:pPr>
              <w:spacing w:after="0" w:line="240" w:lineRule="auto"/>
              <w:jc w:val="right"/>
              <w:rPr>
                <w:rFonts w:eastAsia="Times New Roman" w:cstheme="minorHAnsi"/>
                <w:color w:val="000000"/>
                <w:sz w:val="18"/>
                <w:szCs w:val="18"/>
                <w:lang w:eastAsia="pt-BR"/>
              </w:rPr>
            </w:pPr>
            <w:r w:rsidRPr="00132323">
              <w:rPr>
                <w:rFonts w:eastAsia="Times New Roman" w:cstheme="minorHAnsi"/>
                <w:color w:val="000000"/>
                <w:sz w:val="18"/>
                <w:szCs w:val="18"/>
                <w:lang w:eastAsia="pt-BR"/>
              </w:rPr>
              <w:t>329</w:t>
            </w:r>
          </w:p>
        </w:tc>
      </w:tr>
      <w:tr w:rsidR="00132323" w:rsidRPr="00132323" w14:paraId="54A936D5" w14:textId="77777777" w:rsidTr="0082667A">
        <w:trPr>
          <w:trHeight w:val="288"/>
        </w:trPr>
        <w:tc>
          <w:tcPr>
            <w:tcW w:w="1996" w:type="pct"/>
            <w:shd w:val="clear" w:color="auto" w:fill="FFFFFF" w:themeFill="background1"/>
            <w:vAlign w:val="center"/>
            <w:hideMark/>
          </w:tcPr>
          <w:p w14:paraId="57AF166E" w14:textId="77777777" w:rsidR="00132323" w:rsidRPr="00132323" w:rsidRDefault="00132323" w:rsidP="00132323">
            <w:pPr>
              <w:spacing w:after="0" w:line="240" w:lineRule="auto"/>
              <w:rPr>
                <w:rFonts w:eastAsia="Times New Roman" w:cstheme="minorHAnsi"/>
                <w:color w:val="000000"/>
                <w:sz w:val="18"/>
                <w:szCs w:val="18"/>
                <w:lang w:eastAsia="pt-BR"/>
              </w:rPr>
            </w:pPr>
            <w:r w:rsidRPr="00132323">
              <w:rPr>
                <w:rFonts w:eastAsia="Times New Roman" w:cstheme="minorHAnsi"/>
                <w:color w:val="000000"/>
                <w:sz w:val="18"/>
                <w:szCs w:val="18"/>
                <w:lang w:eastAsia="pt-BR"/>
              </w:rPr>
              <w:t>2015</w:t>
            </w:r>
          </w:p>
        </w:tc>
        <w:tc>
          <w:tcPr>
            <w:tcW w:w="3004" w:type="pct"/>
            <w:shd w:val="clear" w:color="auto" w:fill="FFFFFF" w:themeFill="background1"/>
            <w:vAlign w:val="center"/>
            <w:hideMark/>
          </w:tcPr>
          <w:p w14:paraId="72FC5080" w14:textId="77777777" w:rsidR="00132323" w:rsidRPr="00132323" w:rsidRDefault="00132323" w:rsidP="008E4CBA">
            <w:pPr>
              <w:spacing w:after="0" w:line="240" w:lineRule="auto"/>
              <w:jc w:val="right"/>
              <w:rPr>
                <w:rFonts w:eastAsia="Times New Roman" w:cstheme="minorHAnsi"/>
                <w:color w:val="000000"/>
                <w:sz w:val="18"/>
                <w:szCs w:val="18"/>
                <w:lang w:eastAsia="pt-BR"/>
              </w:rPr>
            </w:pPr>
            <w:r w:rsidRPr="00132323">
              <w:rPr>
                <w:rFonts w:eastAsia="Times New Roman" w:cstheme="minorHAnsi"/>
                <w:color w:val="000000"/>
                <w:sz w:val="18"/>
                <w:szCs w:val="18"/>
                <w:lang w:eastAsia="pt-BR"/>
              </w:rPr>
              <w:t>359</w:t>
            </w:r>
          </w:p>
        </w:tc>
      </w:tr>
      <w:tr w:rsidR="00132323" w:rsidRPr="00132323" w14:paraId="571403C1" w14:textId="77777777" w:rsidTr="0082667A">
        <w:trPr>
          <w:trHeight w:val="288"/>
        </w:trPr>
        <w:tc>
          <w:tcPr>
            <w:tcW w:w="1996" w:type="pct"/>
            <w:shd w:val="clear" w:color="auto" w:fill="FFFFFF" w:themeFill="background1"/>
            <w:vAlign w:val="center"/>
            <w:hideMark/>
          </w:tcPr>
          <w:p w14:paraId="7AA97ECA" w14:textId="77777777" w:rsidR="00132323" w:rsidRPr="00132323" w:rsidRDefault="00132323" w:rsidP="00132323">
            <w:pPr>
              <w:spacing w:after="0" w:line="240" w:lineRule="auto"/>
              <w:rPr>
                <w:rFonts w:eastAsia="Times New Roman" w:cstheme="minorHAnsi"/>
                <w:color w:val="000000"/>
                <w:sz w:val="18"/>
                <w:szCs w:val="18"/>
                <w:lang w:eastAsia="pt-BR"/>
              </w:rPr>
            </w:pPr>
            <w:r w:rsidRPr="00132323">
              <w:rPr>
                <w:rFonts w:eastAsia="Times New Roman" w:cstheme="minorHAnsi"/>
                <w:color w:val="000000"/>
                <w:sz w:val="18"/>
                <w:szCs w:val="18"/>
                <w:lang w:eastAsia="pt-BR"/>
              </w:rPr>
              <w:t>2016</w:t>
            </w:r>
          </w:p>
        </w:tc>
        <w:tc>
          <w:tcPr>
            <w:tcW w:w="3004" w:type="pct"/>
            <w:shd w:val="clear" w:color="auto" w:fill="FFFFFF" w:themeFill="background1"/>
            <w:vAlign w:val="center"/>
            <w:hideMark/>
          </w:tcPr>
          <w:p w14:paraId="5371FD6C" w14:textId="77777777" w:rsidR="00132323" w:rsidRPr="00132323" w:rsidRDefault="00132323" w:rsidP="008E4CBA">
            <w:pPr>
              <w:spacing w:after="0" w:line="240" w:lineRule="auto"/>
              <w:jc w:val="right"/>
              <w:rPr>
                <w:rFonts w:eastAsia="Times New Roman" w:cstheme="minorHAnsi"/>
                <w:color w:val="000000"/>
                <w:sz w:val="18"/>
                <w:szCs w:val="18"/>
                <w:lang w:eastAsia="pt-BR"/>
              </w:rPr>
            </w:pPr>
            <w:r w:rsidRPr="00132323">
              <w:rPr>
                <w:rFonts w:eastAsia="Times New Roman" w:cstheme="minorHAnsi"/>
                <w:color w:val="000000"/>
                <w:sz w:val="18"/>
                <w:szCs w:val="18"/>
                <w:lang w:eastAsia="pt-BR"/>
              </w:rPr>
              <w:t>313</w:t>
            </w:r>
          </w:p>
        </w:tc>
      </w:tr>
      <w:tr w:rsidR="00132323" w:rsidRPr="00132323" w14:paraId="12B2BDD4" w14:textId="77777777" w:rsidTr="0082667A">
        <w:trPr>
          <w:trHeight w:val="288"/>
        </w:trPr>
        <w:tc>
          <w:tcPr>
            <w:tcW w:w="1996" w:type="pct"/>
            <w:shd w:val="clear" w:color="auto" w:fill="FFFFFF" w:themeFill="background1"/>
            <w:vAlign w:val="center"/>
            <w:hideMark/>
          </w:tcPr>
          <w:p w14:paraId="35E0F60E" w14:textId="77777777" w:rsidR="00132323" w:rsidRPr="00132323" w:rsidRDefault="00132323" w:rsidP="00132323">
            <w:pPr>
              <w:spacing w:after="0" w:line="240" w:lineRule="auto"/>
              <w:rPr>
                <w:rFonts w:eastAsia="Times New Roman" w:cstheme="minorHAnsi"/>
                <w:color w:val="000000"/>
                <w:sz w:val="18"/>
                <w:szCs w:val="18"/>
                <w:lang w:eastAsia="pt-BR"/>
              </w:rPr>
            </w:pPr>
            <w:r w:rsidRPr="00132323">
              <w:rPr>
                <w:rFonts w:eastAsia="Times New Roman" w:cstheme="minorHAnsi"/>
                <w:color w:val="000000"/>
                <w:sz w:val="18"/>
                <w:szCs w:val="18"/>
                <w:lang w:eastAsia="pt-BR"/>
              </w:rPr>
              <w:t>2017</w:t>
            </w:r>
          </w:p>
        </w:tc>
        <w:tc>
          <w:tcPr>
            <w:tcW w:w="3004" w:type="pct"/>
            <w:shd w:val="clear" w:color="auto" w:fill="FFFFFF" w:themeFill="background1"/>
            <w:vAlign w:val="center"/>
            <w:hideMark/>
          </w:tcPr>
          <w:p w14:paraId="124C42FE" w14:textId="77777777" w:rsidR="00132323" w:rsidRPr="00132323" w:rsidRDefault="00132323" w:rsidP="008E4CBA">
            <w:pPr>
              <w:spacing w:after="0" w:line="240" w:lineRule="auto"/>
              <w:jc w:val="right"/>
              <w:rPr>
                <w:rFonts w:eastAsia="Times New Roman" w:cstheme="minorHAnsi"/>
                <w:color w:val="000000"/>
                <w:sz w:val="18"/>
                <w:szCs w:val="18"/>
                <w:lang w:eastAsia="pt-BR"/>
              </w:rPr>
            </w:pPr>
            <w:r w:rsidRPr="00132323">
              <w:rPr>
                <w:rFonts w:eastAsia="Times New Roman" w:cstheme="minorHAnsi"/>
                <w:color w:val="000000"/>
                <w:sz w:val="18"/>
                <w:szCs w:val="18"/>
                <w:lang w:eastAsia="pt-BR"/>
              </w:rPr>
              <w:t>403</w:t>
            </w:r>
          </w:p>
        </w:tc>
      </w:tr>
      <w:tr w:rsidR="00132323" w:rsidRPr="00132323" w14:paraId="407540B4" w14:textId="77777777" w:rsidTr="0082667A">
        <w:trPr>
          <w:trHeight w:val="288"/>
        </w:trPr>
        <w:tc>
          <w:tcPr>
            <w:tcW w:w="1996" w:type="pct"/>
            <w:shd w:val="clear" w:color="auto" w:fill="FFFFFF" w:themeFill="background1"/>
            <w:vAlign w:val="center"/>
            <w:hideMark/>
          </w:tcPr>
          <w:p w14:paraId="6E29204A" w14:textId="77777777" w:rsidR="00132323" w:rsidRPr="00132323" w:rsidRDefault="00132323" w:rsidP="00132323">
            <w:pPr>
              <w:spacing w:after="0" w:line="240" w:lineRule="auto"/>
              <w:rPr>
                <w:rFonts w:eastAsia="Times New Roman" w:cstheme="minorHAnsi"/>
                <w:color w:val="000000"/>
                <w:sz w:val="18"/>
                <w:szCs w:val="18"/>
                <w:lang w:eastAsia="pt-BR"/>
              </w:rPr>
            </w:pPr>
            <w:r w:rsidRPr="00132323">
              <w:rPr>
                <w:rFonts w:eastAsia="Times New Roman" w:cstheme="minorHAnsi"/>
                <w:color w:val="000000"/>
                <w:sz w:val="18"/>
                <w:szCs w:val="18"/>
                <w:lang w:eastAsia="pt-BR"/>
              </w:rPr>
              <w:t>2018</w:t>
            </w:r>
          </w:p>
        </w:tc>
        <w:tc>
          <w:tcPr>
            <w:tcW w:w="3004" w:type="pct"/>
            <w:shd w:val="clear" w:color="auto" w:fill="FFFFFF" w:themeFill="background1"/>
            <w:vAlign w:val="center"/>
            <w:hideMark/>
          </w:tcPr>
          <w:p w14:paraId="3AC8B284" w14:textId="77777777" w:rsidR="00132323" w:rsidRPr="00132323" w:rsidRDefault="00132323" w:rsidP="008E4CBA">
            <w:pPr>
              <w:spacing w:after="0" w:line="240" w:lineRule="auto"/>
              <w:jc w:val="right"/>
              <w:rPr>
                <w:rFonts w:eastAsia="Times New Roman" w:cstheme="minorHAnsi"/>
                <w:color w:val="000000"/>
                <w:sz w:val="18"/>
                <w:szCs w:val="18"/>
                <w:lang w:eastAsia="pt-BR"/>
              </w:rPr>
            </w:pPr>
            <w:r w:rsidRPr="00132323">
              <w:rPr>
                <w:rFonts w:eastAsia="Times New Roman" w:cstheme="minorHAnsi"/>
                <w:color w:val="000000"/>
                <w:sz w:val="18"/>
                <w:szCs w:val="18"/>
                <w:lang w:eastAsia="pt-BR"/>
              </w:rPr>
              <w:t>395</w:t>
            </w:r>
          </w:p>
        </w:tc>
      </w:tr>
      <w:tr w:rsidR="00132323" w:rsidRPr="00132323" w14:paraId="4FE0F0A1" w14:textId="77777777" w:rsidTr="0082667A">
        <w:trPr>
          <w:trHeight w:val="288"/>
        </w:trPr>
        <w:tc>
          <w:tcPr>
            <w:tcW w:w="1996" w:type="pct"/>
            <w:shd w:val="clear" w:color="auto" w:fill="FFFFFF" w:themeFill="background1"/>
            <w:vAlign w:val="center"/>
            <w:hideMark/>
          </w:tcPr>
          <w:p w14:paraId="6D400F8E" w14:textId="77777777" w:rsidR="00132323" w:rsidRPr="00132323" w:rsidRDefault="00132323" w:rsidP="00132323">
            <w:pPr>
              <w:spacing w:after="0" w:line="240" w:lineRule="auto"/>
              <w:rPr>
                <w:rFonts w:eastAsia="Times New Roman" w:cstheme="minorHAnsi"/>
                <w:color w:val="000000"/>
                <w:sz w:val="18"/>
                <w:szCs w:val="18"/>
                <w:lang w:eastAsia="pt-BR"/>
              </w:rPr>
            </w:pPr>
            <w:r w:rsidRPr="00132323">
              <w:rPr>
                <w:rFonts w:eastAsia="Times New Roman" w:cstheme="minorHAnsi"/>
                <w:color w:val="000000"/>
                <w:sz w:val="18"/>
                <w:szCs w:val="18"/>
                <w:lang w:eastAsia="pt-BR"/>
              </w:rPr>
              <w:t>2019</w:t>
            </w:r>
          </w:p>
        </w:tc>
        <w:tc>
          <w:tcPr>
            <w:tcW w:w="3004" w:type="pct"/>
            <w:shd w:val="clear" w:color="auto" w:fill="FFFFFF" w:themeFill="background1"/>
            <w:vAlign w:val="center"/>
            <w:hideMark/>
          </w:tcPr>
          <w:p w14:paraId="4DA1B671" w14:textId="77777777" w:rsidR="00132323" w:rsidRPr="00132323" w:rsidRDefault="00132323" w:rsidP="008E4CBA">
            <w:pPr>
              <w:spacing w:after="0" w:line="240" w:lineRule="auto"/>
              <w:jc w:val="right"/>
              <w:rPr>
                <w:rFonts w:eastAsia="Times New Roman" w:cstheme="minorHAnsi"/>
                <w:color w:val="000000"/>
                <w:sz w:val="18"/>
                <w:szCs w:val="18"/>
                <w:lang w:eastAsia="pt-BR"/>
              </w:rPr>
            </w:pPr>
            <w:r w:rsidRPr="00132323">
              <w:rPr>
                <w:rFonts w:eastAsia="Times New Roman" w:cstheme="minorHAnsi"/>
                <w:color w:val="000000"/>
                <w:sz w:val="18"/>
                <w:szCs w:val="18"/>
                <w:lang w:eastAsia="pt-BR"/>
              </w:rPr>
              <w:t>446</w:t>
            </w:r>
          </w:p>
        </w:tc>
      </w:tr>
      <w:tr w:rsidR="00132323" w:rsidRPr="00132323" w14:paraId="44A0986A" w14:textId="77777777" w:rsidTr="0082667A">
        <w:trPr>
          <w:trHeight w:val="288"/>
        </w:trPr>
        <w:tc>
          <w:tcPr>
            <w:tcW w:w="1996" w:type="pct"/>
            <w:shd w:val="clear" w:color="auto" w:fill="FFFFFF" w:themeFill="background1"/>
            <w:vAlign w:val="center"/>
            <w:hideMark/>
          </w:tcPr>
          <w:p w14:paraId="037C39B1" w14:textId="77777777" w:rsidR="00132323" w:rsidRPr="00132323" w:rsidRDefault="00132323" w:rsidP="00132323">
            <w:pPr>
              <w:spacing w:after="0" w:line="240" w:lineRule="auto"/>
              <w:rPr>
                <w:rFonts w:eastAsia="Times New Roman" w:cstheme="minorHAnsi"/>
                <w:color w:val="000000"/>
                <w:sz w:val="18"/>
                <w:szCs w:val="18"/>
                <w:lang w:eastAsia="pt-BR"/>
              </w:rPr>
            </w:pPr>
            <w:r w:rsidRPr="00132323">
              <w:rPr>
                <w:rFonts w:eastAsia="Times New Roman" w:cstheme="minorHAnsi"/>
                <w:color w:val="000000"/>
                <w:sz w:val="18"/>
                <w:szCs w:val="18"/>
                <w:lang w:eastAsia="pt-BR"/>
              </w:rPr>
              <w:t>2020</w:t>
            </w:r>
          </w:p>
        </w:tc>
        <w:tc>
          <w:tcPr>
            <w:tcW w:w="3004" w:type="pct"/>
            <w:shd w:val="clear" w:color="auto" w:fill="FFFFFF" w:themeFill="background1"/>
            <w:vAlign w:val="center"/>
            <w:hideMark/>
          </w:tcPr>
          <w:p w14:paraId="4FBDEFAD" w14:textId="77777777" w:rsidR="00132323" w:rsidRPr="00132323" w:rsidRDefault="00132323" w:rsidP="008E4CBA">
            <w:pPr>
              <w:spacing w:after="0" w:line="240" w:lineRule="auto"/>
              <w:jc w:val="right"/>
              <w:rPr>
                <w:rFonts w:eastAsia="Times New Roman" w:cstheme="minorHAnsi"/>
                <w:color w:val="000000"/>
                <w:sz w:val="18"/>
                <w:szCs w:val="18"/>
                <w:lang w:eastAsia="pt-BR"/>
              </w:rPr>
            </w:pPr>
            <w:r w:rsidRPr="00132323">
              <w:rPr>
                <w:rFonts w:eastAsia="Times New Roman" w:cstheme="minorHAnsi"/>
                <w:color w:val="000000"/>
                <w:sz w:val="18"/>
                <w:szCs w:val="18"/>
                <w:lang w:eastAsia="pt-BR"/>
              </w:rPr>
              <w:t>430</w:t>
            </w:r>
          </w:p>
        </w:tc>
      </w:tr>
      <w:tr w:rsidR="00132323" w:rsidRPr="00132323" w14:paraId="59606897" w14:textId="77777777" w:rsidTr="0082667A">
        <w:trPr>
          <w:trHeight w:val="288"/>
        </w:trPr>
        <w:tc>
          <w:tcPr>
            <w:tcW w:w="1996" w:type="pct"/>
            <w:shd w:val="clear" w:color="auto" w:fill="FFFFFF" w:themeFill="background1"/>
            <w:vAlign w:val="center"/>
            <w:hideMark/>
          </w:tcPr>
          <w:p w14:paraId="6003E8CE" w14:textId="77777777" w:rsidR="00132323" w:rsidRPr="00132323" w:rsidRDefault="00132323" w:rsidP="00132323">
            <w:pPr>
              <w:spacing w:after="0" w:line="240" w:lineRule="auto"/>
              <w:rPr>
                <w:rFonts w:eastAsia="Times New Roman" w:cstheme="minorHAnsi"/>
                <w:color w:val="000000"/>
                <w:sz w:val="18"/>
                <w:szCs w:val="18"/>
                <w:lang w:eastAsia="pt-BR"/>
              </w:rPr>
            </w:pPr>
            <w:r w:rsidRPr="00132323">
              <w:rPr>
                <w:rFonts w:eastAsia="Times New Roman" w:cstheme="minorHAnsi"/>
                <w:color w:val="000000"/>
                <w:sz w:val="18"/>
                <w:szCs w:val="18"/>
                <w:lang w:eastAsia="pt-BR"/>
              </w:rPr>
              <w:t>2021</w:t>
            </w:r>
          </w:p>
        </w:tc>
        <w:tc>
          <w:tcPr>
            <w:tcW w:w="3004" w:type="pct"/>
            <w:shd w:val="clear" w:color="auto" w:fill="FFFFFF" w:themeFill="background1"/>
            <w:vAlign w:val="center"/>
            <w:hideMark/>
          </w:tcPr>
          <w:p w14:paraId="11071FEC" w14:textId="77777777" w:rsidR="00132323" w:rsidRPr="00132323" w:rsidRDefault="00132323" w:rsidP="008E4CBA">
            <w:pPr>
              <w:spacing w:after="0" w:line="240" w:lineRule="auto"/>
              <w:jc w:val="right"/>
              <w:rPr>
                <w:rFonts w:eastAsia="Times New Roman" w:cstheme="minorHAnsi"/>
                <w:color w:val="000000"/>
                <w:sz w:val="18"/>
                <w:szCs w:val="18"/>
                <w:lang w:eastAsia="pt-BR"/>
              </w:rPr>
            </w:pPr>
            <w:r w:rsidRPr="00132323">
              <w:rPr>
                <w:rFonts w:eastAsia="Times New Roman" w:cstheme="minorHAnsi"/>
                <w:color w:val="000000"/>
                <w:sz w:val="18"/>
                <w:szCs w:val="18"/>
                <w:lang w:eastAsia="pt-BR"/>
              </w:rPr>
              <w:t>439</w:t>
            </w:r>
          </w:p>
        </w:tc>
      </w:tr>
      <w:tr w:rsidR="00132323" w:rsidRPr="00132323" w14:paraId="1ADB4ACC" w14:textId="77777777" w:rsidTr="0082667A">
        <w:trPr>
          <w:trHeight w:val="288"/>
        </w:trPr>
        <w:tc>
          <w:tcPr>
            <w:tcW w:w="1996" w:type="pct"/>
            <w:shd w:val="clear" w:color="auto" w:fill="A6A6A6" w:themeFill="background1" w:themeFillShade="A6"/>
            <w:vAlign w:val="center"/>
          </w:tcPr>
          <w:p w14:paraId="68AFD09F" w14:textId="0D871713" w:rsidR="00132323" w:rsidRPr="00132323" w:rsidRDefault="00132323" w:rsidP="00132323">
            <w:pPr>
              <w:spacing w:after="0" w:line="240" w:lineRule="auto"/>
              <w:rPr>
                <w:rFonts w:eastAsia="Times New Roman" w:cstheme="minorHAnsi"/>
                <w:b/>
                <w:bCs/>
                <w:color w:val="000000"/>
                <w:sz w:val="18"/>
                <w:szCs w:val="18"/>
                <w:lang w:eastAsia="pt-BR"/>
              </w:rPr>
            </w:pPr>
            <w:r w:rsidRPr="00132323">
              <w:rPr>
                <w:rFonts w:eastAsia="Times New Roman" w:cstheme="minorHAnsi"/>
                <w:b/>
                <w:bCs/>
                <w:color w:val="000000"/>
                <w:sz w:val="18"/>
                <w:szCs w:val="18"/>
                <w:lang w:eastAsia="pt-BR"/>
              </w:rPr>
              <w:t>Total</w:t>
            </w:r>
          </w:p>
        </w:tc>
        <w:tc>
          <w:tcPr>
            <w:tcW w:w="3004" w:type="pct"/>
            <w:shd w:val="clear" w:color="auto" w:fill="A6A6A6" w:themeFill="background1" w:themeFillShade="A6"/>
            <w:vAlign w:val="center"/>
          </w:tcPr>
          <w:p w14:paraId="3BE3525B" w14:textId="3AE8AC1C" w:rsidR="00132323" w:rsidRPr="00132323" w:rsidRDefault="00132323" w:rsidP="008E4CBA">
            <w:pPr>
              <w:spacing w:after="0" w:line="240" w:lineRule="auto"/>
              <w:jc w:val="right"/>
              <w:rPr>
                <w:rFonts w:eastAsia="Times New Roman" w:cstheme="minorHAnsi"/>
                <w:b/>
                <w:bCs/>
                <w:color w:val="000000"/>
                <w:sz w:val="18"/>
                <w:szCs w:val="18"/>
                <w:lang w:eastAsia="pt-BR"/>
              </w:rPr>
            </w:pPr>
            <w:r w:rsidRPr="00132323">
              <w:rPr>
                <w:rFonts w:eastAsia="Times New Roman" w:cstheme="minorHAnsi"/>
                <w:b/>
                <w:bCs/>
                <w:color w:val="000000"/>
                <w:sz w:val="18"/>
                <w:szCs w:val="18"/>
                <w:lang w:eastAsia="pt-BR"/>
              </w:rPr>
              <w:t>3763</w:t>
            </w:r>
          </w:p>
        </w:tc>
      </w:tr>
    </w:tbl>
    <w:p w14:paraId="5684E3DB" w14:textId="77777777" w:rsidR="00B24405" w:rsidRDefault="00B24405" w:rsidP="00EA6353">
      <w:pPr>
        <w:spacing w:after="0" w:line="240" w:lineRule="auto"/>
      </w:pPr>
    </w:p>
    <w:p w14:paraId="1B2FD608" w14:textId="31904A26" w:rsidR="00C635C3" w:rsidRDefault="007E1DFF" w:rsidP="00EA6353">
      <w:pPr>
        <w:spacing w:after="0" w:line="240" w:lineRule="auto"/>
      </w:pPr>
      <w:r>
        <w:t>Um estudo publicado n</w:t>
      </w:r>
      <w:r w:rsidR="00334882">
        <w:t xml:space="preserve">o periódico </w:t>
      </w:r>
      <w:r w:rsidRPr="00632E1A">
        <w:rPr>
          <w:i/>
          <w:iCs/>
        </w:rPr>
        <w:t xml:space="preserve">BMC </w:t>
      </w:r>
      <w:proofErr w:type="spellStart"/>
      <w:r w:rsidRPr="00632E1A">
        <w:rPr>
          <w:i/>
          <w:iCs/>
        </w:rPr>
        <w:t>Urology</w:t>
      </w:r>
      <w:proofErr w:type="spellEnd"/>
      <w:r>
        <w:t xml:space="preserve">* </w:t>
      </w:r>
      <w:r w:rsidR="00DC6470">
        <w:t xml:space="preserve">aponta que o Brasil apresenta tendência a </w:t>
      </w:r>
      <w:r w:rsidR="00B5204D">
        <w:t>crescimento das</w:t>
      </w:r>
      <w:r w:rsidR="000107D4">
        <w:t xml:space="preserve"> taxa</w:t>
      </w:r>
      <w:r w:rsidR="00B5204D">
        <w:t>s</w:t>
      </w:r>
      <w:r w:rsidR="000107D4">
        <w:t xml:space="preserve"> de </w:t>
      </w:r>
      <w:r w:rsidR="00B5204D">
        <w:t xml:space="preserve">mortes provocadas pelo </w:t>
      </w:r>
      <w:r w:rsidR="000107D4">
        <w:t>câncer de testículo</w:t>
      </w:r>
      <w:r w:rsidR="00B5204D">
        <w:t>.</w:t>
      </w:r>
      <w:r w:rsidR="00F760A2">
        <w:t xml:space="preserve"> Os pesquisadores analisaram </w:t>
      </w:r>
      <w:r w:rsidR="00D15A27">
        <w:t>as taxas de óbitos em razão da doença de 2001 a 201</w:t>
      </w:r>
      <w:r w:rsidR="005C3925">
        <w:t xml:space="preserve">5 e calcularam as estimativas de mortalidade por </w:t>
      </w:r>
      <w:r w:rsidR="00F760A2">
        <w:t xml:space="preserve">um período de 15 anos </w:t>
      </w:r>
      <w:r w:rsidR="00821553">
        <w:t>(2016 a 2030)</w:t>
      </w:r>
      <w:r w:rsidR="005C3925">
        <w:t xml:space="preserve">. </w:t>
      </w:r>
      <w:r w:rsidR="00F663BB">
        <w:t>O estudo indica que</w:t>
      </w:r>
      <w:r w:rsidR="003B25AC" w:rsidRPr="003B25AC">
        <w:t xml:space="preserve"> haverá um aumento de 26,6% no número de óbitos </w:t>
      </w:r>
      <w:r w:rsidR="00F663BB">
        <w:t>de</w:t>
      </w:r>
      <w:r w:rsidR="003B25AC" w:rsidRPr="003B25AC">
        <w:t xml:space="preserve"> 2026</w:t>
      </w:r>
      <w:r w:rsidR="00F663BB">
        <w:t xml:space="preserve"> a </w:t>
      </w:r>
      <w:r w:rsidR="003B25AC" w:rsidRPr="003B25AC">
        <w:t xml:space="preserve">2030, quando comparado com o período </w:t>
      </w:r>
      <w:r w:rsidR="00F663BB">
        <w:t xml:space="preserve">de </w:t>
      </w:r>
      <w:r w:rsidR="003B25AC" w:rsidRPr="003B25AC">
        <w:t>2011</w:t>
      </w:r>
      <w:r w:rsidR="00F663BB">
        <w:t xml:space="preserve"> a </w:t>
      </w:r>
      <w:r w:rsidR="003B25AC" w:rsidRPr="003B25AC">
        <w:t>2015</w:t>
      </w:r>
      <w:r w:rsidR="00857D5D">
        <w:t>.</w:t>
      </w:r>
    </w:p>
    <w:p w14:paraId="2711421F" w14:textId="77777777" w:rsidR="00D47FC7" w:rsidRDefault="00D47FC7" w:rsidP="00EA6353">
      <w:pPr>
        <w:spacing w:after="0" w:line="240" w:lineRule="auto"/>
      </w:pPr>
    </w:p>
    <w:p w14:paraId="4A426055" w14:textId="77777777" w:rsidR="00C61E0E" w:rsidRDefault="00C61E0E" w:rsidP="00666F4B">
      <w:pPr>
        <w:spacing w:after="0" w:line="240" w:lineRule="auto"/>
      </w:pPr>
    </w:p>
    <w:p w14:paraId="773F31D2" w14:textId="5FA14E36" w:rsidR="00666F4B" w:rsidRPr="00666F4B" w:rsidRDefault="00666F4B" w:rsidP="00666F4B">
      <w:pPr>
        <w:spacing w:after="0" w:line="240" w:lineRule="auto"/>
      </w:pPr>
      <w:r w:rsidRPr="00666F4B">
        <w:t xml:space="preserve">“As maiores taxas de óbito foram verificadas justamente nas faixas etárias de maior incidência da doença. Apesar dessa explicação lógica, não deixa de ser altamente alarmante e impactante, sobretudo porque estamos diante de jovens, em plena vida social, familiar, reprodutiva e laboral que perderam suas vidas por uma doença que, embora grave, teria mais de 90% de chances de cura se tivesse sido diagnosticada a tempo. Por isso, precisamos unir esforços para tentar esclarecer e alertar </w:t>
      </w:r>
      <w:r>
        <w:t>a</w:t>
      </w:r>
      <w:r w:rsidRPr="00666F4B">
        <w:t xml:space="preserve"> população, desde os progenitores e responsáveis, até os próprios homens de todas as faixas etárias, e incluindo também os gestores em saúde, sobre a importância do diagnóstico precoce e de não se perder a janela terapêutica para as melhores oportunidades de tratamento. Outra preocupação é que há estatísticas que apontam para um aumento progressivo da incidência da doença em praticamente todo o mundo, mas que as maiores taxas de mortalidade ainda estão sendo verificadas nos países em desenvolvimento. O estudo que citamos também nos fornece um alerta que vai além: que o Brasil estaria entre os países em que se espera um crescimento ainda maior das taxas de mortalidade desse câncer para os próximos anos. Mais uma razão para buscarmos urgentemente reverter esse quadro”</w:t>
      </w:r>
      <w:r w:rsidR="00E35160">
        <w:t xml:space="preserve">, </w:t>
      </w:r>
      <w:r w:rsidRPr="00666F4B">
        <w:t>comenta Dra</w:t>
      </w:r>
      <w:r w:rsidR="00E35160">
        <w:t>.</w:t>
      </w:r>
      <w:r w:rsidRPr="00666F4B">
        <w:t xml:space="preserve"> Karin Anzolch. </w:t>
      </w:r>
    </w:p>
    <w:p w14:paraId="4B3E6901" w14:textId="77777777" w:rsidR="007E1DFF" w:rsidRDefault="007E1DFF" w:rsidP="00EA6353">
      <w:pPr>
        <w:spacing w:after="0" w:line="240" w:lineRule="auto"/>
      </w:pPr>
    </w:p>
    <w:p w14:paraId="52B3B6F4" w14:textId="75585509" w:rsidR="00C635C3" w:rsidRPr="00DD166C" w:rsidRDefault="00324A3E" w:rsidP="00EA6353">
      <w:pPr>
        <w:spacing w:after="0" w:line="240" w:lineRule="auto"/>
        <w:rPr>
          <w:b/>
          <w:bCs/>
        </w:rPr>
      </w:pPr>
      <w:r w:rsidRPr="00DD166C">
        <w:rPr>
          <w:b/>
          <w:bCs/>
        </w:rPr>
        <w:t>Diagnóstico e tratamento</w:t>
      </w:r>
    </w:p>
    <w:p w14:paraId="124C6A85" w14:textId="7F8F2E24" w:rsidR="00DD166C" w:rsidRDefault="00D273E7" w:rsidP="00DD166C">
      <w:pPr>
        <w:spacing w:after="0" w:line="240" w:lineRule="auto"/>
      </w:pPr>
      <w:r>
        <w:t xml:space="preserve">Um tumor no testículo </w:t>
      </w:r>
      <w:r w:rsidR="00FC07F4">
        <w:t>é geralmente detectado por meio de exame físico, ultrassonografia</w:t>
      </w:r>
      <w:r w:rsidR="008844F5">
        <w:t xml:space="preserve"> e dosagem de marcadores tumorais.</w:t>
      </w:r>
      <w:r w:rsidR="00DD166C">
        <w:t xml:space="preserve"> E o tratamento </w:t>
      </w:r>
      <w:r w:rsidR="00DF0BFA">
        <w:t>consiste em</w:t>
      </w:r>
      <w:r w:rsidR="00DD166C">
        <w:t xml:space="preserve"> cirurgia</w:t>
      </w:r>
      <w:r w:rsidR="00DF0BFA">
        <w:t xml:space="preserve"> (chamada </w:t>
      </w:r>
      <w:r w:rsidR="004B0BDD">
        <w:t xml:space="preserve">orquiectomia </w:t>
      </w:r>
      <w:r w:rsidR="004B0BDD" w:rsidRPr="5F5184A1">
        <w:t>parcial</w:t>
      </w:r>
      <w:r w:rsidR="004B0BDD">
        <w:t xml:space="preserve"> quando </w:t>
      </w:r>
      <w:r w:rsidR="00DF0BFA">
        <w:t>remove parte do testículo</w:t>
      </w:r>
      <w:r w:rsidR="009B7B35">
        <w:t>;</w:t>
      </w:r>
      <w:r w:rsidR="00DF0BFA">
        <w:t xml:space="preserve"> </w:t>
      </w:r>
      <w:r w:rsidR="004B0BDD">
        <w:t xml:space="preserve">e </w:t>
      </w:r>
      <w:r w:rsidR="00DF0BFA" w:rsidRPr="5F5184A1">
        <w:t>orquiectomia total</w:t>
      </w:r>
      <w:r w:rsidR="004B0BDD">
        <w:t xml:space="preserve"> quando é feita a retirada de todo o órgão</w:t>
      </w:r>
      <w:r w:rsidR="00DF0BFA" w:rsidRPr="5F5184A1">
        <w:t>),</w:t>
      </w:r>
      <w:r w:rsidR="00DF0BFA">
        <w:t xml:space="preserve"> </w:t>
      </w:r>
      <w:r w:rsidR="00DD166C">
        <w:t xml:space="preserve">quimioterapia ou radioterapia, dependendo do caso. </w:t>
      </w:r>
    </w:p>
    <w:p w14:paraId="49892CC8" w14:textId="77777777" w:rsidR="008844F5" w:rsidRDefault="008844F5" w:rsidP="00EA6353">
      <w:pPr>
        <w:spacing w:after="0" w:line="240" w:lineRule="auto"/>
      </w:pPr>
    </w:p>
    <w:p w14:paraId="2CFA2E55" w14:textId="4190AAB4" w:rsidR="00C94EF5" w:rsidRPr="004001FF" w:rsidRDefault="004001FF" w:rsidP="00EA6353">
      <w:pPr>
        <w:spacing w:after="0" w:line="240" w:lineRule="auto"/>
      </w:pPr>
      <w:r w:rsidRPr="004001FF">
        <w:t xml:space="preserve">“Qualquer nódulo ou </w:t>
      </w:r>
      <w:r>
        <w:t>‘</w:t>
      </w:r>
      <w:r w:rsidRPr="004001FF">
        <w:t>caroço</w:t>
      </w:r>
      <w:r>
        <w:t>’</w:t>
      </w:r>
      <w:r w:rsidRPr="004001FF">
        <w:t xml:space="preserve"> nos testículos que não melhora com o tratamento clínico deve ser avaliado pelo </w:t>
      </w:r>
      <w:r>
        <w:t>u</w:t>
      </w:r>
      <w:r w:rsidRPr="004001FF">
        <w:t>rologista</w:t>
      </w:r>
      <w:r>
        <w:t>, p</w:t>
      </w:r>
      <w:r w:rsidRPr="004001FF">
        <w:t xml:space="preserve">rincipalmente nos homens entre 15-35 anos. Essa avaliação clínica é fundamental para descartar a suspeita de câncer de testículo. O </w:t>
      </w:r>
      <w:r>
        <w:t>u</w:t>
      </w:r>
      <w:r w:rsidRPr="004001FF">
        <w:t>rologista, quando identifica a possibilidade de câncer, irá solicitar os exames de imagem e sangue necessários. Dessa forma, fica clar</w:t>
      </w:r>
      <w:r w:rsidR="006430F2">
        <w:t xml:space="preserve">a </w:t>
      </w:r>
      <w:r w:rsidRPr="004001FF">
        <w:t xml:space="preserve">a importância da consulta com o especialista quando houver </w:t>
      </w:r>
      <w:r w:rsidR="006430F2" w:rsidRPr="004001FF">
        <w:t>dúvidas</w:t>
      </w:r>
      <w:r w:rsidRPr="004001FF">
        <w:t xml:space="preserve">. O tratamento deve ser imediato e a melhor resposta </w:t>
      </w:r>
      <w:r w:rsidR="006430F2" w:rsidRPr="004001FF">
        <w:t>está</w:t>
      </w:r>
      <w:r w:rsidRPr="004001FF">
        <w:t xml:space="preserve"> associada ao diagnóstico precoce”, orienta Dr. André Lopes Salazar</w:t>
      </w:r>
      <w:r w:rsidR="006430F2">
        <w:t>, s</w:t>
      </w:r>
      <w:r w:rsidRPr="004001FF">
        <w:t xml:space="preserve">upervisor da Disciplina de Câncer de Testículo </w:t>
      </w:r>
      <w:r w:rsidR="006F3F1B">
        <w:t>d</w:t>
      </w:r>
      <w:r w:rsidRPr="004001FF">
        <w:t xml:space="preserve">o Departamento de </w:t>
      </w:r>
      <w:proofErr w:type="spellStart"/>
      <w:r w:rsidRPr="004001FF">
        <w:t>Uro</w:t>
      </w:r>
      <w:proofErr w:type="spellEnd"/>
      <w:r w:rsidRPr="004001FF">
        <w:t>-</w:t>
      </w:r>
      <w:r w:rsidR="00A20F9B">
        <w:t>O</w:t>
      </w:r>
      <w:r w:rsidRPr="004001FF">
        <w:t>ncologia da S</w:t>
      </w:r>
      <w:r w:rsidR="00A20F9B">
        <w:t>BU</w:t>
      </w:r>
      <w:r w:rsidRPr="004001FF">
        <w:t>.</w:t>
      </w:r>
    </w:p>
    <w:p w14:paraId="3BE57A08" w14:textId="77777777" w:rsidR="00821F6F" w:rsidRDefault="00821F6F" w:rsidP="00EA6353">
      <w:pPr>
        <w:spacing w:after="0" w:line="240" w:lineRule="auto"/>
      </w:pPr>
    </w:p>
    <w:p w14:paraId="5AD85B8E" w14:textId="1C854DEE" w:rsidR="00BB13CF" w:rsidRPr="00E327E3" w:rsidRDefault="00E6647F" w:rsidP="00BB13CF">
      <w:pPr>
        <w:spacing w:after="0" w:line="240" w:lineRule="auto"/>
        <w:rPr>
          <w:b/>
          <w:bCs/>
        </w:rPr>
      </w:pPr>
      <w:r>
        <w:rPr>
          <w:b/>
          <w:bCs/>
        </w:rPr>
        <w:t>Impacto na fertilidade</w:t>
      </w:r>
    </w:p>
    <w:p w14:paraId="393D33F3" w14:textId="32381832" w:rsidR="00BB13CF" w:rsidRDefault="6811F027" w:rsidP="00BB13CF">
      <w:pPr>
        <w:spacing w:after="0" w:line="240" w:lineRule="auto"/>
      </w:pPr>
      <w:r>
        <w:t xml:space="preserve">A remoção de parte ou de um dos testículos pode afetar a vida sexual e a fertilidade? Os testículos são responsáveis pela produção dos espermatozoides e do hormônio testosterona. </w:t>
      </w:r>
    </w:p>
    <w:p w14:paraId="6D3F5DD4" w14:textId="642CE76D" w:rsidR="6811F027" w:rsidRDefault="6811F027" w:rsidP="6811F027">
      <w:pPr>
        <w:spacing w:after="0" w:line="240" w:lineRule="auto"/>
      </w:pPr>
      <w:r>
        <w:t>“Os tumores de testículo têm como um dos fatores de risco a infertilidade, portanto alguns homens com esses tumores já estão inférteis no momento do diagnóstico e certos tratamentos para o câncer testicular podem causar infertilidade que pode ser permanente. Pacientes que desejam ter filhos devem considerar o armazenamento de sêmen antes do tratamento. A criopreservação é o processo de congelamento de sêmen para uso posterior”, esclarece Dr. Roni de Carvalho Fernandes, diretor da Escola Superior de Urologia da SBU.</w:t>
      </w:r>
    </w:p>
    <w:p w14:paraId="7BFEBCA7" w14:textId="77777777" w:rsidR="00BB13CF" w:rsidRDefault="00BB13CF" w:rsidP="00BB13CF">
      <w:pPr>
        <w:spacing w:after="0" w:line="240" w:lineRule="auto"/>
      </w:pPr>
    </w:p>
    <w:p w14:paraId="4B23589B" w14:textId="77777777" w:rsidR="00BB13CF" w:rsidRDefault="00BB13CF" w:rsidP="00BB13CF">
      <w:pPr>
        <w:spacing w:after="0" w:line="240" w:lineRule="auto"/>
      </w:pPr>
    </w:p>
    <w:p w14:paraId="0A2283DC" w14:textId="085AA932" w:rsidR="6811F027" w:rsidRDefault="6811F027" w:rsidP="6811F027">
      <w:pPr>
        <w:spacing w:after="0" w:line="240" w:lineRule="auto"/>
      </w:pPr>
    </w:p>
    <w:p w14:paraId="0A378837" w14:textId="77777777" w:rsidR="007E1DFF" w:rsidRPr="0082667A" w:rsidRDefault="007E1DFF" w:rsidP="007E1DFF">
      <w:pPr>
        <w:spacing w:after="0" w:line="240" w:lineRule="auto"/>
        <w:rPr>
          <w:b/>
          <w:bCs/>
        </w:rPr>
      </w:pPr>
      <w:r w:rsidRPr="0082667A">
        <w:rPr>
          <w:b/>
          <w:bCs/>
        </w:rPr>
        <w:t>Referência:</w:t>
      </w:r>
    </w:p>
    <w:p w14:paraId="0F715D5B" w14:textId="7F5D4F12" w:rsidR="007E1DFF" w:rsidRPr="00334882" w:rsidRDefault="007E1DFF" w:rsidP="007E1DFF">
      <w:pPr>
        <w:spacing w:after="0" w:line="240" w:lineRule="auto"/>
      </w:pPr>
      <w:r>
        <w:t>*</w:t>
      </w:r>
      <w:r w:rsidR="00594B00">
        <w:t xml:space="preserve"> </w:t>
      </w:r>
      <w:r w:rsidR="00594B00" w:rsidRPr="00594B00">
        <w:t xml:space="preserve">Soares, S.C.M., dos Santos, K.M.R., de Morais Fernandes, F.C.G. et al. </w:t>
      </w:r>
      <w:r w:rsidR="00594B00" w:rsidRPr="00334882">
        <w:rPr>
          <w:i/>
          <w:iCs/>
          <w:lang w:val="en-US"/>
        </w:rPr>
        <w:t>Testicular Cancer mortality in Brazil: trends and predictions until 2030</w:t>
      </w:r>
      <w:r w:rsidR="00594B00" w:rsidRPr="00594B00">
        <w:rPr>
          <w:lang w:val="en-US"/>
        </w:rPr>
        <w:t xml:space="preserve">. </w:t>
      </w:r>
      <w:r w:rsidR="00594B00" w:rsidRPr="00F243B4">
        <w:t xml:space="preserve">BMC Urol 19, 59 (2019). </w:t>
      </w:r>
      <w:r w:rsidR="00334882" w:rsidRPr="00334882">
        <w:t xml:space="preserve">Disponível em: </w:t>
      </w:r>
      <w:hyperlink r:id="rId7" w:history="1">
        <w:r w:rsidR="00334882" w:rsidRPr="00334882">
          <w:rPr>
            <w:rStyle w:val="Hyperlink"/>
          </w:rPr>
          <w:t>https://doi.org/10.1186/s12894-019-0487-z</w:t>
        </w:r>
      </w:hyperlink>
      <w:r w:rsidR="006B15C9" w:rsidRPr="00334882">
        <w:t xml:space="preserve"> </w:t>
      </w:r>
      <w:r w:rsidRPr="00334882">
        <w:t xml:space="preserve"> </w:t>
      </w:r>
      <w:r w:rsidR="00334882" w:rsidRPr="00334882">
        <w:t>Acesso em: 28 m</w:t>
      </w:r>
      <w:r w:rsidR="00334882">
        <w:t>ar 2024.</w:t>
      </w:r>
    </w:p>
    <w:p w14:paraId="77116BAE" w14:textId="77777777" w:rsidR="008A1458" w:rsidRPr="00334882" w:rsidRDefault="008A1458" w:rsidP="00BB13CF">
      <w:pPr>
        <w:spacing w:after="0" w:line="240" w:lineRule="auto"/>
      </w:pPr>
    </w:p>
    <w:p w14:paraId="260B0C00" w14:textId="77777777" w:rsidR="00BB13CF" w:rsidRPr="00334882" w:rsidRDefault="00BB13CF" w:rsidP="00BB13CF">
      <w:pPr>
        <w:spacing w:after="0" w:line="240" w:lineRule="auto"/>
      </w:pPr>
    </w:p>
    <w:sectPr w:rsidR="00BB13CF" w:rsidRPr="0033488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8BF3" w14:textId="77777777" w:rsidR="00D06DC4" w:rsidRDefault="00D06DC4" w:rsidP="0082667A">
      <w:pPr>
        <w:spacing w:after="0" w:line="240" w:lineRule="auto"/>
      </w:pPr>
      <w:r>
        <w:separator/>
      </w:r>
    </w:p>
  </w:endnote>
  <w:endnote w:type="continuationSeparator" w:id="0">
    <w:p w14:paraId="644B7327" w14:textId="77777777" w:rsidR="00D06DC4" w:rsidRDefault="00D06DC4" w:rsidP="0082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7C156" w14:textId="77777777" w:rsidR="00D06DC4" w:rsidRDefault="00D06DC4" w:rsidP="0082667A">
      <w:pPr>
        <w:spacing w:after="0" w:line="240" w:lineRule="auto"/>
      </w:pPr>
      <w:r>
        <w:separator/>
      </w:r>
    </w:p>
  </w:footnote>
  <w:footnote w:type="continuationSeparator" w:id="0">
    <w:p w14:paraId="789790FC" w14:textId="77777777" w:rsidR="00D06DC4" w:rsidRDefault="00D06DC4" w:rsidP="00826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D04F" w14:textId="2BDB9B5E" w:rsidR="0082667A" w:rsidRDefault="0082667A" w:rsidP="0082667A">
    <w:pPr>
      <w:pStyle w:val="Cabealho"/>
      <w:ind w:left="-1276"/>
    </w:pPr>
    <w:r>
      <w:rPr>
        <w:noProof/>
      </w:rPr>
      <w:drawing>
        <wp:inline distT="0" distB="0" distL="0" distR="0" wp14:anchorId="22E43BEB" wp14:editId="0E953637">
          <wp:extent cx="2257425" cy="694960"/>
          <wp:effectExtent l="0" t="0" r="0" b="0"/>
          <wp:docPr id="1637131168"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131168" name="Imagem 1"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67505" cy="6980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0499B"/>
    <w:multiLevelType w:val="hybridMultilevel"/>
    <w:tmpl w:val="E140CFE0"/>
    <w:lvl w:ilvl="0" w:tplc="86C2308C">
      <w:numFmt w:val="bullet"/>
      <w:lvlText w:val="•"/>
      <w:lvlJc w:val="left"/>
      <w:pPr>
        <w:ind w:left="1068" w:hanging="708"/>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5EF2353"/>
    <w:multiLevelType w:val="hybridMultilevel"/>
    <w:tmpl w:val="AE00A7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62350253">
    <w:abstractNumId w:val="1"/>
  </w:num>
  <w:num w:numId="2" w16cid:durableId="201583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1B"/>
    <w:rsid w:val="000107D4"/>
    <w:rsid w:val="0001497E"/>
    <w:rsid w:val="00015D6E"/>
    <w:rsid w:val="000220F9"/>
    <w:rsid w:val="000404CB"/>
    <w:rsid w:val="00051082"/>
    <w:rsid w:val="000544F0"/>
    <w:rsid w:val="000A1688"/>
    <w:rsid w:val="000C1BB6"/>
    <w:rsid w:val="000C698E"/>
    <w:rsid w:val="00106A87"/>
    <w:rsid w:val="00111ED3"/>
    <w:rsid w:val="00132323"/>
    <w:rsid w:val="0016423A"/>
    <w:rsid w:val="00187B0D"/>
    <w:rsid w:val="00187B77"/>
    <w:rsid w:val="001B4179"/>
    <w:rsid w:val="001B48A7"/>
    <w:rsid w:val="001E3301"/>
    <w:rsid w:val="001E3712"/>
    <w:rsid w:val="001E3E08"/>
    <w:rsid w:val="00226E67"/>
    <w:rsid w:val="002446C9"/>
    <w:rsid w:val="00274FE0"/>
    <w:rsid w:val="002845A9"/>
    <w:rsid w:val="002A49CA"/>
    <w:rsid w:val="002B6F98"/>
    <w:rsid w:val="002D3B01"/>
    <w:rsid w:val="002E17F1"/>
    <w:rsid w:val="00315793"/>
    <w:rsid w:val="00324A3E"/>
    <w:rsid w:val="003267DA"/>
    <w:rsid w:val="00334882"/>
    <w:rsid w:val="003A2C1D"/>
    <w:rsid w:val="003B25AC"/>
    <w:rsid w:val="003D798C"/>
    <w:rsid w:val="003E623E"/>
    <w:rsid w:val="003E721E"/>
    <w:rsid w:val="003F32F1"/>
    <w:rsid w:val="003F60C8"/>
    <w:rsid w:val="004001FF"/>
    <w:rsid w:val="00417B59"/>
    <w:rsid w:val="004318BB"/>
    <w:rsid w:val="00440530"/>
    <w:rsid w:val="00451356"/>
    <w:rsid w:val="00462873"/>
    <w:rsid w:val="00485EBF"/>
    <w:rsid w:val="00497318"/>
    <w:rsid w:val="004A5813"/>
    <w:rsid w:val="004B0794"/>
    <w:rsid w:val="004B0BDD"/>
    <w:rsid w:val="004E36B2"/>
    <w:rsid w:val="004E57BF"/>
    <w:rsid w:val="004F728C"/>
    <w:rsid w:val="005000D0"/>
    <w:rsid w:val="00525E05"/>
    <w:rsid w:val="00543FAA"/>
    <w:rsid w:val="005476FC"/>
    <w:rsid w:val="00591DA9"/>
    <w:rsid w:val="00594B00"/>
    <w:rsid w:val="005961C6"/>
    <w:rsid w:val="005A22E7"/>
    <w:rsid w:val="005C3925"/>
    <w:rsid w:val="005D55EB"/>
    <w:rsid w:val="005E56F9"/>
    <w:rsid w:val="00600FF2"/>
    <w:rsid w:val="00632E1A"/>
    <w:rsid w:val="006430F2"/>
    <w:rsid w:val="00666F4B"/>
    <w:rsid w:val="006B15C9"/>
    <w:rsid w:val="006C1C6C"/>
    <w:rsid w:val="006D67F8"/>
    <w:rsid w:val="006E22C3"/>
    <w:rsid w:val="006E323E"/>
    <w:rsid w:val="006F3F1B"/>
    <w:rsid w:val="006F5720"/>
    <w:rsid w:val="00737961"/>
    <w:rsid w:val="00743ED4"/>
    <w:rsid w:val="00755D73"/>
    <w:rsid w:val="007563FB"/>
    <w:rsid w:val="00760DDF"/>
    <w:rsid w:val="007950CA"/>
    <w:rsid w:val="0079676C"/>
    <w:rsid w:val="007C71DE"/>
    <w:rsid w:val="007E1DFF"/>
    <w:rsid w:val="00802EE7"/>
    <w:rsid w:val="00810B87"/>
    <w:rsid w:val="00814E6B"/>
    <w:rsid w:val="00821553"/>
    <w:rsid w:val="00821F6F"/>
    <w:rsid w:val="0082667A"/>
    <w:rsid w:val="00857D5D"/>
    <w:rsid w:val="00870040"/>
    <w:rsid w:val="008844F5"/>
    <w:rsid w:val="00894CF4"/>
    <w:rsid w:val="00896D79"/>
    <w:rsid w:val="008A1458"/>
    <w:rsid w:val="008B457E"/>
    <w:rsid w:val="008C0960"/>
    <w:rsid w:val="008C1F7C"/>
    <w:rsid w:val="008D6F50"/>
    <w:rsid w:val="008E27BC"/>
    <w:rsid w:val="008E4CBA"/>
    <w:rsid w:val="008E5ADF"/>
    <w:rsid w:val="008F7BA5"/>
    <w:rsid w:val="0090448D"/>
    <w:rsid w:val="00906CEE"/>
    <w:rsid w:val="00910250"/>
    <w:rsid w:val="009173D5"/>
    <w:rsid w:val="009341B3"/>
    <w:rsid w:val="00935D7D"/>
    <w:rsid w:val="00964318"/>
    <w:rsid w:val="00964982"/>
    <w:rsid w:val="0097099A"/>
    <w:rsid w:val="0098046C"/>
    <w:rsid w:val="00985A27"/>
    <w:rsid w:val="00991B35"/>
    <w:rsid w:val="009B7B35"/>
    <w:rsid w:val="009D7697"/>
    <w:rsid w:val="009E32AF"/>
    <w:rsid w:val="009E5860"/>
    <w:rsid w:val="009F5D6B"/>
    <w:rsid w:val="00A112DB"/>
    <w:rsid w:val="00A20F9B"/>
    <w:rsid w:val="00A5794C"/>
    <w:rsid w:val="00A66676"/>
    <w:rsid w:val="00A76F34"/>
    <w:rsid w:val="00A80622"/>
    <w:rsid w:val="00A83942"/>
    <w:rsid w:val="00AA5726"/>
    <w:rsid w:val="00AD361B"/>
    <w:rsid w:val="00AF240B"/>
    <w:rsid w:val="00AF6C12"/>
    <w:rsid w:val="00B077C5"/>
    <w:rsid w:val="00B16BF1"/>
    <w:rsid w:val="00B24405"/>
    <w:rsid w:val="00B25474"/>
    <w:rsid w:val="00B37EEB"/>
    <w:rsid w:val="00B40032"/>
    <w:rsid w:val="00B47C3D"/>
    <w:rsid w:val="00B5204D"/>
    <w:rsid w:val="00B659F0"/>
    <w:rsid w:val="00B77139"/>
    <w:rsid w:val="00B94B2B"/>
    <w:rsid w:val="00B97862"/>
    <w:rsid w:val="00BB0332"/>
    <w:rsid w:val="00BB13CF"/>
    <w:rsid w:val="00BD074D"/>
    <w:rsid w:val="00BE649E"/>
    <w:rsid w:val="00C04D4F"/>
    <w:rsid w:val="00C14BFF"/>
    <w:rsid w:val="00C21BA3"/>
    <w:rsid w:val="00C270B1"/>
    <w:rsid w:val="00C52B16"/>
    <w:rsid w:val="00C56CC8"/>
    <w:rsid w:val="00C60034"/>
    <w:rsid w:val="00C61E0E"/>
    <w:rsid w:val="00C635C3"/>
    <w:rsid w:val="00C902B1"/>
    <w:rsid w:val="00C94EF5"/>
    <w:rsid w:val="00C96B5A"/>
    <w:rsid w:val="00CB0FA3"/>
    <w:rsid w:val="00CB4691"/>
    <w:rsid w:val="00CC2D20"/>
    <w:rsid w:val="00CD3716"/>
    <w:rsid w:val="00CD683F"/>
    <w:rsid w:val="00CE2387"/>
    <w:rsid w:val="00CF2D99"/>
    <w:rsid w:val="00D06DC4"/>
    <w:rsid w:val="00D15A27"/>
    <w:rsid w:val="00D273E7"/>
    <w:rsid w:val="00D27888"/>
    <w:rsid w:val="00D3508D"/>
    <w:rsid w:val="00D42EAB"/>
    <w:rsid w:val="00D47FC7"/>
    <w:rsid w:val="00D531E3"/>
    <w:rsid w:val="00D77715"/>
    <w:rsid w:val="00DA7A3A"/>
    <w:rsid w:val="00DB561C"/>
    <w:rsid w:val="00DB65C8"/>
    <w:rsid w:val="00DC6470"/>
    <w:rsid w:val="00DD166C"/>
    <w:rsid w:val="00DF0BFA"/>
    <w:rsid w:val="00E06AE0"/>
    <w:rsid w:val="00E147F1"/>
    <w:rsid w:val="00E20A86"/>
    <w:rsid w:val="00E233A2"/>
    <w:rsid w:val="00E25327"/>
    <w:rsid w:val="00E322A3"/>
    <w:rsid w:val="00E327E3"/>
    <w:rsid w:val="00E35160"/>
    <w:rsid w:val="00E37F71"/>
    <w:rsid w:val="00E46F2E"/>
    <w:rsid w:val="00E53B5A"/>
    <w:rsid w:val="00E6647F"/>
    <w:rsid w:val="00E704D5"/>
    <w:rsid w:val="00EA6353"/>
    <w:rsid w:val="00EF6E36"/>
    <w:rsid w:val="00F243B4"/>
    <w:rsid w:val="00F663BB"/>
    <w:rsid w:val="00F760A2"/>
    <w:rsid w:val="00F80AEF"/>
    <w:rsid w:val="00F80E9E"/>
    <w:rsid w:val="00F81A1B"/>
    <w:rsid w:val="00F96F65"/>
    <w:rsid w:val="00FA2E8F"/>
    <w:rsid w:val="00FB10CB"/>
    <w:rsid w:val="00FB5EE4"/>
    <w:rsid w:val="00FC07F4"/>
    <w:rsid w:val="00FC4A51"/>
    <w:rsid w:val="00FE2BFA"/>
    <w:rsid w:val="00FE4918"/>
    <w:rsid w:val="00FE4B00"/>
    <w:rsid w:val="084FCC03"/>
    <w:rsid w:val="177720BE"/>
    <w:rsid w:val="23105B4A"/>
    <w:rsid w:val="3AA98E63"/>
    <w:rsid w:val="45788257"/>
    <w:rsid w:val="46419B91"/>
    <w:rsid w:val="5EAA7DA4"/>
    <w:rsid w:val="5F5184A1"/>
    <w:rsid w:val="67706A45"/>
    <w:rsid w:val="6811F027"/>
    <w:rsid w:val="7B59BB4E"/>
    <w:rsid w:val="7CEFE3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D241F"/>
  <w15:chartTrackingRefBased/>
  <w15:docId w15:val="{CDEC8901-0409-48AC-B4E3-70E414F9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563C1" w:themeColor="hyperlink"/>
      <w:u w:val="single"/>
    </w:rPr>
  </w:style>
  <w:style w:type="paragraph" w:styleId="PargrafodaLista">
    <w:name w:val="List Paragraph"/>
    <w:basedOn w:val="Normal"/>
    <w:uiPriority w:val="34"/>
    <w:qFormat/>
    <w:rsid w:val="007E1DFF"/>
    <w:pPr>
      <w:ind w:left="720"/>
      <w:contextualSpacing/>
    </w:pPr>
  </w:style>
  <w:style w:type="character" w:styleId="MenoPendente">
    <w:name w:val="Unresolved Mention"/>
    <w:basedOn w:val="Fontepargpadro"/>
    <w:uiPriority w:val="99"/>
    <w:semiHidden/>
    <w:unhideWhenUsed/>
    <w:rsid w:val="007E1DFF"/>
    <w:rPr>
      <w:color w:val="605E5C"/>
      <w:shd w:val="clear" w:color="auto" w:fill="E1DFDD"/>
    </w:rPr>
  </w:style>
  <w:style w:type="paragraph" w:styleId="Cabealho">
    <w:name w:val="header"/>
    <w:basedOn w:val="Normal"/>
    <w:link w:val="CabealhoChar"/>
    <w:uiPriority w:val="99"/>
    <w:unhideWhenUsed/>
    <w:rsid w:val="008266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667A"/>
  </w:style>
  <w:style w:type="paragraph" w:styleId="Rodap">
    <w:name w:val="footer"/>
    <w:basedOn w:val="Normal"/>
    <w:link w:val="RodapChar"/>
    <w:uiPriority w:val="99"/>
    <w:unhideWhenUsed/>
    <w:rsid w:val="0082667A"/>
    <w:pPr>
      <w:tabs>
        <w:tab w:val="center" w:pos="4252"/>
        <w:tab w:val="right" w:pos="8504"/>
      </w:tabs>
      <w:spacing w:after="0" w:line="240" w:lineRule="auto"/>
    </w:pPr>
  </w:style>
  <w:style w:type="character" w:customStyle="1" w:styleId="RodapChar">
    <w:name w:val="Rodapé Char"/>
    <w:basedOn w:val="Fontepargpadro"/>
    <w:link w:val="Rodap"/>
    <w:uiPriority w:val="99"/>
    <w:rsid w:val="0082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52898">
      <w:bodyDiv w:val="1"/>
      <w:marLeft w:val="0"/>
      <w:marRight w:val="0"/>
      <w:marTop w:val="0"/>
      <w:marBottom w:val="0"/>
      <w:divBdr>
        <w:top w:val="none" w:sz="0" w:space="0" w:color="auto"/>
        <w:left w:val="none" w:sz="0" w:space="0" w:color="auto"/>
        <w:bottom w:val="none" w:sz="0" w:space="0" w:color="auto"/>
        <w:right w:val="none" w:sz="0" w:space="0" w:color="auto"/>
      </w:divBdr>
    </w:div>
    <w:div w:id="1432169087">
      <w:bodyDiv w:val="1"/>
      <w:marLeft w:val="0"/>
      <w:marRight w:val="0"/>
      <w:marTop w:val="0"/>
      <w:marBottom w:val="0"/>
      <w:divBdr>
        <w:top w:val="none" w:sz="0" w:space="0" w:color="auto"/>
        <w:left w:val="none" w:sz="0" w:space="0" w:color="auto"/>
        <w:bottom w:val="none" w:sz="0" w:space="0" w:color="auto"/>
        <w:right w:val="none" w:sz="0" w:space="0" w:color="auto"/>
      </w:divBdr>
    </w:div>
    <w:div w:id="188805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86/s12894-019-0487-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1714</Words>
  <Characters>9261</Characters>
  <Application>Microsoft Office Word</Application>
  <DocSecurity>0</DocSecurity>
  <Lines>77</Lines>
  <Paragraphs>21</Paragraphs>
  <ScaleCrop>false</ScaleCrop>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Janaína Soares</dc:creator>
  <cp:keywords/>
  <dc:description/>
  <cp:lastModifiedBy>Ricardo de Morais</cp:lastModifiedBy>
  <cp:revision>6</cp:revision>
  <dcterms:created xsi:type="dcterms:W3CDTF">2024-04-03T15:45:00Z</dcterms:created>
  <dcterms:modified xsi:type="dcterms:W3CDTF">2024-04-11T13:11:00Z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6b3ea0ea-8324-41c4-b7f9-258b5d95a96f</vt:lpwstr>
  </property>
</Properties>
</file>